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F919D" w14:textId="2ADFE6F5" w:rsidR="009A073E" w:rsidRDefault="00752A0D" w:rsidP="00882808">
      <w:pPr>
        <w:tabs>
          <w:tab w:val="left" w:pos="935"/>
        </w:tabs>
        <w:rPr>
          <w:rFonts w:cstheme="minorHAnsi"/>
          <w:b/>
          <w:bCs/>
          <w:color w:val="0099CC"/>
          <w:sz w:val="52"/>
          <w:szCs w:val="5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0288" behindDoc="1" locked="0" layoutInCell="1" allowOverlap="1" wp14:anchorId="3AE8E6DC" wp14:editId="103DB126">
            <wp:simplePos x="0" y="0"/>
            <wp:positionH relativeFrom="column">
              <wp:posOffset>-971550</wp:posOffset>
            </wp:positionH>
            <wp:positionV relativeFrom="paragraph">
              <wp:posOffset>-730250</wp:posOffset>
            </wp:positionV>
            <wp:extent cx="1551305" cy="10725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51305" cy="10725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0099CC"/>
          <w:sz w:val="52"/>
          <w:szCs w:val="52"/>
        </w:rPr>
        <mc:AlternateContent>
          <mc:Choice Requires="wps">
            <w:drawing>
              <wp:anchor distT="0" distB="0" distL="114300" distR="114300" simplePos="0" relativeHeight="251659264" behindDoc="1" locked="0" layoutInCell="1" allowOverlap="1" wp14:anchorId="3F6F4A68" wp14:editId="0A78F97E">
                <wp:simplePos x="0" y="0"/>
                <wp:positionH relativeFrom="column">
                  <wp:posOffset>-971550</wp:posOffset>
                </wp:positionH>
                <wp:positionV relativeFrom="paragraph">
                  <wp:posOffset>-777875</wp:posOffset>
                </wp:positionV>
                <wp:extent cx="7610475" cy="10772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610475" cy="10772775"/>
                        </a:xfrm>
                        <a:prstGeom prst="rect">
                          <a:avLst/>
                        </a:prstGeom>
                        <a:solidFill>
                          <a:schemeClr val="accent1">
                            <a:alpha val="3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6F1A3" id="Rectangle 2" o:spid="_x0000_s1026" style="position:absolute;margin-left:-76.5pt;margin-top:-61.25pt;width:599.25pt;height:84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" fillcolor="#4f81bd [3204]" strokecolor="#243f60 [1604]" strokeweight="2pt">
                <v:fill opacity="20303f"/>
              </v:rect>
            </w:pict>
          </mc:Fallback>
        </mc:AlternateContent>
      </w:r>
      <w:r w:rsidR="005B171C">
        <w:rPr>
          <w:rFonts w:cstheme="minorHAnsi"/>
          <w:b/>
          <w:bCs/>
          <w:color w:val="0099CC"/>
          <w:sz w:val="52"/>
          <w:szCs w:val="52"/>
          <w14:shadow w14:blurRad="50800" w14:dist="38100" w14:dir="2700000" w14:sx="100000" w14:sy="100000" w14:kx="0" w14:ky="0" w14:algn="tl">
            <w14:srgbClr w14:val="000000">
              <w14:alpha w14:val="60000"/>
            </w14:srgbClr>
          </w14:shadow>
        </w:rPr>
        <w:tab/>
      </w:r>
    </w:p>
    <w:p w14:paraId="06DBAF46" w14:textId="77777777" w:rsidR="00AF371B" w:rsidRDefault="00AF371B" w:rsidP="00AF371B">
      <w:pPr>
        <w:tabs>
          <w:tab w:val="left" w:pos="5792"/>
        </w:tabs>
        <w:rPr>
          <w:rFonts w:cstheme="minorHAnsi"/>
          <w:color w:val="4F81BD" w:themeColor="accent1"/>
          <w:sz w:val="56"/>
          <w:szCs w:val="56"/>
        </w:rPr>
      </w:pPr>
      <w:r>
        <w:rPr>
          <w:rFonts w:cstheme="minorHAnsi"/>
          <w:color w:val="4F81BD" w:themeColor="accent1"/>
          <w:sz w:val="56"/>
          <w:szCs w:val="56"/>
        </w:rPr>
        <w:t xml:space="preserve">                 </w:t>
      </w:r>
      <w:r w:rsidR="00100475" w:rsidRPr="00882808">
        <w:rPr>
          <w:rFonts w:cstheme="minorHAnsi"/>
          <w:color w:val="4F81BD" w:themeColor="accent1"/>
          <w:sz w:val="56"/>
          <w:szCs w:val="56"/>
        </w:rPr>
        <w:t>Storage of Organi</w:t>
      </w:r>
      <w:r w:rsidR="00A34574" w:rsidRPr="00882808">
        <w:rPr>
          <w:rFonts w:cstheme="minorHAnsi"/>
          <w:color w:val="4F81BD" w:themeColor="accent1"/>
          <w:sz w:val="56"/>
          <w:szCs w:val="56"/>
        </w:rPr>
        <w:t>c</w:t>
      </w:r>
      <w:r w:rsidR="00100475" w:rsidRPr="00882808">
        <w:rPr>
          <w:rFonts w:cstheme="minorHAnsi"/>
          <w:color w:val="4F81BD" w:themeColor="accent1"/>
          <w:sz w:val="56"/>
          <w:szCs w:val="56"/>
        </w:rPr>
        <w:t xml:space="preserve"> Pe</w:t>
      </w:r>
      <w:r w:rsidR="00A34574" w:rsidRPr="00882808">
        <w:rPr>
          <w:rFonts w:cstheme="minorHAnsi"/>
          <w:color w:val="4F81BD" w:themeColor="accent1"/>
          <w:sz w:val="56"/>
          <w:szCs w:val="56"/>
        </w:rPr>
        <w:t>r</w:t>
      </w:r>
      <w:r w:rsidR="00100475" w:rsidRPr="00882808">
        <w:rPr>
          <w:rFonts w:cstheme="minorHAnsi"/>
          <w:color w:val="4F81BD" w:themeColor="accent1"/>
          <w:sz w:val="56"/>
          <w:szCs w:val="56"/>
        </w:rPr>
        <w:t>oxide</w:t>
      </w:r>
      <w:r w:rsidR="00A34574" w:rsidRPr="00882808">
        <w:rPr>
          <w:rFonts w:cstheme="minorHAnsi"/>
          <w:color w:val="4F81BD" w:themeColor="accent1"/>
          <w:sz w:val="56"/>
          <w:szCs w:val="56"/>
        </w:rPr>
        <w:t>s</w:t>
      </w:r>
    </w:p>
    <w:p w14:paraId="1DF1A4C9" w14:textId="17BAF339" w:rsidR="009A073E" w:rsidRDefault="00AF371B" w:rsidP="00AF371B">
      <w:pPr>
        <w:tabs>
          <w:tab w:val="left" w:pos="5792"/>
        </w:tabs>
        <w:rPr>
          <w:rFonts w:cstheme="minorHAnsi"/>
          <w:color w:val="4F81BD" w:themeColor="accent1"/>
          <w:sz w:val="56"/>
          <w:szCs w:val="56"/>
        </w:rPr>
      </w:pPr>
      <w:r>
        <w:rPr>
          <w:rFonts w:cstheme="minorHAnsi"/>
          <w:color w:val="4F81BD" w:themeColor="accent1"/>
          <w:sz w:val="56"/>
          <w:szCs w:val="56"/>
        </w:rPr>
        <w:t xml:space="preserve">                          </w:t>
      </w:r>
      <w:r w:rsidR="00A8407E" w:rsidRPr="00882808">
        <w:rPr>
          <w:rFonts w:cstheme="minorHAnsi"/>
          <w:color w:val="4F81BD" w:themeColor="accent1"/>
          <w:sz w:val="56"/>
          <w:szCs w:val="56"/>
        </w:rPr>
        <w:t xml:space="preserve">in </w:t>
      </w:r>
      <w:r w:rsidR="00A34574" w:rsidRPr="00882808">
        <w:rPr>
          <w:rFonts w:cstheme="minorHAnsi"/>
          <w:color w:val="4F81BD" w:themeColor="accent1"/>
          <w:sz w:val="56"/>
          <w:szCs w:val="56"/>
        </w:rPr>
        <w:t>The Netherlands</w:t>
      </w:r>
    </w:p>
    <w:p w14:paraId="7A11997C" w14:textId="77777777" w:rsidR="00684308" w:rsidRDefault="00684308" w:rsidP="00882808">
      <w:pPr>
        <w:tabs>
          <w:tab w:val="left" w:pos="5792"/>
        </w:tabs>
        <w:rPr>
          <w:rFonts w:cstheme="minorHAnsi"/>
          <w:color w:val="4F81BD" w:themeColor="accent1"/>
          <w:sz w:val="56"/>
          <w:szCs w:val="56"/>
        </w:rPr>
      </w:pPr>
    </w:p>
    <w:p w14:paraId="15F6911E" w14:textId="5F7AD466" w:rsidR="00684308" w:rsidRDefault="00E95FA1" w:rsidP="0087092F">
      <w:pPr>
        <w:jc w:val="center"/>
        <w:rPr>
          <w:rFonts w:cstheme="minorHAnsi"/>
          <w:color w:val="4F81BD" w:themeColor="accent1"/>
          <w:sz w:val="32"/>
          <w:szCs w:val="32"/>
        </w:rPr>
      </w:pPr>
      <w:r>
        <w:rPr>
          <w:rFonts w:cstheme="minorHAnsi"/>
          <w:color w:val="4F81BD" w:themeColor="accent1"/>
          <w:sz w:val="32"/>
          <w:szCs w:val="32"/>
        </w:rPr>
        <w:t xml:space="preserve">                         </w:t>
      </w:r>
      <w:r w:rsidR="00A34574" w:rsidRPr="00882808">
        <w:rPr>
          <w:rFonts w:cstheme="minorHAnsi"/>
          <w:color w:val="4F81BD" w:themeColor="accent1"/>
          <w:sz w:val="32"/>
          <w:szCs w:val="32"/>
        </w:rPr>
        <w:t>Adden</w:t>
      </w:r>
      <w:r w:rsidR="009B6C16" w:rsidRPr="00882808">
        <w:rPr>
          <w:rFonts w:cstheme="minorHAnsi"/>
          <w:color w:val="4F81BD" w:themeColor="accent1"/>
          <w:sz w:val="32"/>
          <w:szCs w:val="32"/>
        </w:rPr>
        <w:t>dum to PSG</w:t>
      </w:r>
      <w:r w:rsidR="00882808">
        <w:rPr>
          <w:rFonts w:cstheme="minorHAnsi"/>
          <w:color w:val="4F81BD" w:themeColor="accent1"/>
          <w:sz w:val="32"/>
          <w:szCs w:val="32"/>
        </w:rPr>
        <w:t xml:space="preserve"> </w:t>
      </w:r>
      <w:r w:rsidR="009B6C16" w:rsidRPr="00882808">
        <w:rPr>
          <w:rFonts w:cstheme="minorHAnsi"/>
          <w:color w:val="4F81BD" w:themeColor="accent1"/>
          <w:sz w:val="32"/>
          <w:szCs w:val="32"/>
        </w:rPr>
        <w:t xml:space="preserve">8 version 2011 in line with the </w:t>
      </w:r>
    </w:p>
    <w:p w14:paraId="78DCDB05" w14:textId="40A2A2A2" w:rsidR="00242628" w:rsidRDefault="00684308" w:rsidP="0087092F">
      <w:pPr>
        <w:jc w:val="center"/>
        <w:rPr>
          <w:rFonts w:cstheme="minorHAnsi"/>
          <w:color w:val="4F81BD" w:themeColor="accent1"/>
          <w:sz w:val="32"/>
          <w:szCs w:val="32"/>
        </w:rPr>
      </w:pPr>
      <w:r>
        <w:rPr>
          <w:rFonts w:cstheme="minorHAnsi"/>
          <w:color w:val="4F81BD" w:themeColor="accent1"/>
          <w:sz w:val="32"/>
          <w:szCs w:val="32"/>
        </w:rPr>
        <w:t xml:space="preserve">                           </w:t>
      </w:r>
      <w:r w:rsidR="009B6C16" w:rsidRPr="00882808">
        <w:rPr>
          <w:rFonts w:cstheme="minorHAnsi"/>
          <w:color w:val="4F81BD" w:themeColor="accent1"/>
          <w:sz w:val="32"/>
          <w:szCs w:val="32"/>
        </w:rPr>
        <w:t>PGS</w:t>
      </w:r>
      <w:r w:rsidR="00882808">
        <w:rPr>
          <w:rFonts w:cstheme="minorHAnsi"/>
          <w:color w:val="4F81BD" w:themeColor="accent1"/>
          <w:sz w:val="32"/>
          <w:szCs w:val="32"/>
        </w:rPr>
        <w:t xml:space="preserve"> </w:t>
      </w:r>
      <w:r w:rsidR="009B6C16" w:rsidRPr="00882808">
        <w:rPr>
          <w:rFonts w:cstheme="minorHAnsi"/>
          <w:color w:val="4F81BD" w:themeColor="accent1"/>
          <w:sz w:val="32"/>
          <w:szCs w:val="32"/>
        </w:rPr>
        <w:t>8 version 202</w:t>
      </w:r>
      <w:r w:rsidR="0015074E">
        <w:rPr>
          <w:rFonts w:cstheme="minorHAnsi"/>
          <w:color w:val="4F81BD" w:themeColor="accent1"/>
          <w:sz w:val="32"/>
          <w:szCs w:val="32"/>
        </w:rPr>
        <w:t>0</w:t>
      </w:r>
    </w:p>
    <w:p w14:paraId="1209A992" w14:textId="77777777" w:rsidR="00684308" w:rsidRPr="00882808" w:rsidRDefault="00684308" w:rsidP="0087092F">
      <w:pPr>
        <w:jc w:val="center"/>
        <w:rPr>
          <w:rFonts w:cstheme="minorHAnsi"/>
          <w:color w:val="4F81BD" w:themeColor="accent1"/>
          <w:sz w:val="36"/>
          <w:szCs w:val="36"/>
        </w:rPr>
      </w:pPr>
    </w:p>
    <w:p w14:paraId="77974833" w14:textId="601A5456" w:rsidR="00AF753E" w:rsidRDefault="00E95FA1" w:rsidP="00882808">
      <w:pPr>
        <w:jc w:val="center"/>
        <w:rPr>
          <w:rFonts w:cstheme="minorHAnsi"/>
          <w:color w:val="4F81BD" w:themeColor="accent1"/>
        </w:rPr>
      </w:pPr>
      <w:r>
        <w:rPr>
          <w:rFonts w:cstheme="minorHAnsi"/>
          <w:color w:val="4F81BD" w:themeColor="accent1"/>
          <w:sz w:val="28"/>
          <w:szCs w:val="28"/>
        </w:rPr>
        <w:t xml:space="preserve">                       </w:t>
      </w:r>
      <w:r w:rsidR="00470688" w:rsidRPr="00882808">
        <w:rPr>
          <w:rFonts w:cstheme="minorHAnsi"/>
          <w:color w:val="4F81BD" w:themeColor="accent1"/>
          <w:sz w:val="28"/>
          <w:szCs w:val="28"/>
        </w:rPr>
        <w:t>March 2021</w:t>
      </w:r>
    </w:p>
    <w:p w14:paraId="5120A5F9" w14:textId="6C8C12FB" w:rsidR="00AF753E" w:rsidRDefault="00AF753E" w:rsidP="009A073E">
      <w:pPr>
        <w:rPr>
          <w:rFonts w:cstheme="minorHAnsi"/>
          <w:color w:val="4F81BD" w:themeColor="accent1"/>
        </w:rPr>
      </w:pPr>
    </w:p>
    <w:p w14:paraId="54C109A3" w14:textId="0C9BA622" w:rsidR="00AF753E" w:rsidRDefault="00AF753E" w:rsidP="009A073E">
      <w:pPr>
        <w:rPr>
          <w:rFonts w:cstheme="minorHAnsi"/>
          <w:color w:val="4F81BD" w:themeColor="accent1"/>
        </w:rPr>
      </w:pPr>
    </w:p>
    <w:p w14:paraId="0D1205F4" w14:textId="4BCB3D43" w:rsidR="00752918" w:rsidRDefault="0075291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52E7426C" w14:textId="77777777" w:rsidR="00242628" w:rsidRDefault="0024262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1B192CB7" w14:textId="77777777" w:rsidR="00752918" w:rsidRDefault="00752918"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3802CB1F" w14:textId="77777777" w:rsidR="00A31F73" w:rsidRDefault="00A31F73" w:rsidP="00AF753E">
      <w:pPr>
        <w:jc w:val="center"/>
        <w:rPr>
          <w:rFonts w:ascii="Bauhaus 93" w:hAnsi="Bauhaus 93"/>
          <w:b/>
          <w:bCs/>
          <w:color w:val="0099CC"/>
          <w:sz w:val="52"/>
          <w:szCs w:val="52"/>
          <w14:shadow w14:blurRad="50800" w14:dist="38100" w14:dir="2700000" w14:sx="100000" w14:sy="100000" w14:kx="0" w14:ky="0" w14:algn="tl">
            <w14:srgbClr w14:val="000000">
              <w14:alpha w14:val="60000"/>
            </w14:srgbClr>
          </w14:shadow>
        </w:rPr>
      </w:pPr>
    </w:p>
    <w:p w14:paraId="17327102" w14:textId="531BC0B3" w:rsidR="00994489" w:rsidRDefault="00E95FA1" w:rsidP="00882808">
      <w:pPr>
        <w:jc w:val="center"/>
        <w:rPr>
          <w:color w:val="4F81BD" w:themeColor="accent1"/>
          <w:u w:val="single"/>
        </w:rPr>
      </w:pPr>
      <w:r>
        <w:rPr>
          <w:rFonts w:ascii="Bauhaus 93" w:hAnsi="Bauhaus 93"/>
          <w:b/>
          <w:bCs/>
          <w:color w:val="0099CC"/>
          <w:sz w:val="52"/>
          <w:szCs w:val="52"/>
          <w14:shadow w14:blurRad="50800" w14:dist="38100" w14:dir="2700000" w14:sx="100000" w14:sy="100000" w14:kx="0" w14:ky="0" w14:algn="tl">
            <w14:srgbClr w14:val="000000">
              <w14:alpha w14:val="60000"/>
            </w14:srgbClr>
          </w14:shadow>
        </w:rPr>
        <w:t xml:space="preserve">            </w:t>
      </w:r>
      <w:r w:rsidR="00994489" w:rsidRPr="00DF5290">
        <w:rPr>
          <w:rFonts w:ascii="Bauhaus 93" w:hAnsi="Bauhaus 93"/>
          <w:b/>
          <w:bCs/>
          <w:color w:val="0099CC"/>
          <w:sz w:val="52"/>
          <w:szCs w:val="52"/>
          <w14:shadow w14:blurRad="50800" w14:dist="38100" w14:dir="2700000" w14:sx="100000" w14:sy="100000" w14:kx="0" w14:ky="0" w14:algn="tl">
            <w14:srgbClr w14:val="000000">
              <w14:alpha w14:val="60000"/>
            </w14:srgbClr>
          </w14:shadow>
        </w:rPr>
        <w:t>EOPSG</w:t>
      </w:r>
    </w:p>
    <w:p w14:paraId="7B7C6D6E" w14:textId="77D8F381" w:rsidR="00994489" w:rsidRDefault="00E95FA1" w:rsidP="00882808">
      <w:pPr>
        <w:jc w:val="center"/>
        <w:rPr>
          <w:rStyle w:val="Title1"/>
          <w:rFonts w:eastAsia="Times New Roman"/>
          <w:color w:val="005CAB"/>
          <w:sz w:val="33"/>
          <w:szCs w:val="33"/>
        </w:rPr>
      </w:pPr>
      <w:r>
        <w:rPr>
          <w:rStyle w:val="Title1"/>
          <w:rFonts w:eastAsia="Times New Roman"/>
          <w:color w:val="005CAB"/>
          <w:sz w:val="33"/>
          <w:szCs w:val="33"/>
        </w:rPr>
        <w:t xml:space="preserve">                         </w:t>
      </w:r>
      <w:r w:rsidR="00994489">
        <w:rPr>
          <w:rStyle w:val="Title1"/>
          <w:rFonts w:eastAsia="Times New Roman"/>
          <w:color w:val="005CAB"/>
          <w:sz w:val="33"/>
          <w:szCs w:val="33"/>
        </w:rPr>
        <w:t>European Organic Peroxide Safety Group</w:t>
      </w:r>
    </w:p>
    <w:p w14:paraId="4C50384F" w14:textId="7DF8D83F" w:rsidR="006357EA" w:rsidRDefault="00E95FA1" w:rsidP="00AF753E">
      <w:pPr>
        <w:jc w:val="center"/>
        <w:rPr>
          <w:rFonts w:ascii="Open Sans" w:eastAsia="Times New Roman" w:hAnsi="Open Sans"/>
          <w:noProof/>
          <w:color w:val="005CAB"/>
          <w:sz w:val="33"/>
          <w:szCs w:val="33"/>
        </w:rPr>
      </w:pPr>
      <w:r>
        <w:rPr>
          <w:rStyle w:val="Title1"/>
          <w:rFonts w:eastAsia="Times New Roman"/>
          <w:color w:val="E36C0A" w:themeColor="accent6" w:themeShade="BF"/>
          <w:sz w:val="28"/>
          <w:szCs w:val="28"/>
        </w:rPr>
        <w:t xml:space="preserve">                        </w:t>
      </w:r>
      <w:r w:rsidR="00994489" w:rsidRPr="00D8348B">
        <w:rPr>
          <w:rStyle w:val="Title1"/>
          <w:rFonts w:eastAsia="Times New Roman"/>
          <w:color w:val="E36C0A" w:themeColor="accent6" w:themeShade="BF"/>
          <w:sz w:val="28"/>
          <w:szCs w:val="28"/>
        </w:rPr>
        <w:t>A sector group of Cefic</w:t>
      </w:r>
      <w:r w:rsidR="00994489" w:rsidRPr="00994489">
        <w:rPr>
          <w:rFonts w:ascii="Open Sans" w:eastAsia="Times New Roman" w:hAnsi="Open Sans"/>
          <w:noProof/>
          <w:color w:val="005CAB"/>
          <w:sz w:val="33"/>
          <w:szCs w:val="33"/>
        </w:rPr>
        <w:t xml:space="preserve"> </w:t>
      </w:r>
      <w:r w:rsidR="00994489">
        <w:rPr>
          <w:rFonts w:ascii="Open Sans" w:eastAsia="Times New Roman" w:hAnsi="Open Sans"/>
          <w:noProof/>
          <w:color w:val="005CAB"/>
          <w:sz w:val="33"/>
          <w:szCs w:val="33"/>
        </w:rPr>
        <w:drawing>
          <wp:inline distT="0" distB="0" distL="0" distR="0" wp14:anchorId="3AF6BC2A" wp14:editId="269D77D8">
            <wp:extent cx="308344" cy="321923"/>
            <wp:effectExtent l="0" t="0" r="0" b="254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FIC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003" cy="345580"/>
                    </a:xfrm>
                    <a:prstGeom prst="rect">
                      <a:avLst/>
                    </a:prstGeom>
                  </pic:spPr>
                </pic:pic>
              </a:graphicData>
            </a:graphic>
          </wp:inline>
        </w:drawing>
      </w:r>
    </w:p>
    <w:p w14:paraId="5431F8FF" w14:textId="0CFC9E85" w:rsidR="006357EA" w:rsidRPr="00C72C67" w:rsidRDefault="00E95FA1" w:rsidP="00882808">
      <w:pPr>
        <w:jc w:val="center"/>
        <w:rPr>
          <w:color w:val="4F81BD" w:themeColor="accent1"/>
          <w:u w:val="single"/>
        </w:rPr>
      </w:pPr>
      <w:r>
        <w:rPr>
          <w:rFonts w:ascii="Open Sans" w:eastAsia="Times New Roman" w:hAnsi="Open Sans"/>
          <w:noProof/>
          <w:color w:val="005CAB"/>
          <w:sz w:val="33"/>
          <w:szCs w:val="33"/>
        </w:rPr>
        <w:t xml:space="preserve">                  </w:t>
      </w:r>
      <w:r w:rsidR="006357EA">
        <w:rPr>
          <w:rFonts w:ascii="Open Sans" w:eastAsia="Times New Roman" w:hAnsi="Open Sans"/>
          <w:noProof/>
          <w:color w:val="005CAB"/>
          <w:sz w:val="33"/>
          <w:szCs w:val="33"/>
        </w:rPr>
        <w:t>_________________________</w:t>
      </w:r>
      <w:r w:rsidR="003432C8">
        <w:rPr>
          <w:color w:val="4F81BD" w:themeColor="accent1"/>
          <w:u w:val="single"/>
        </w:rPr>
        <w:br w:type="page"/>
      </w:r>
    </w:p>
    <w:p w14:paraId="4E2CEBA9" w14:textId="77777777" w:rsidR="00540AF2" w:rsidRDefault="00540AF2">
      <w:pPr>
        <w:rPr>
          <w:color w:val="4F81BD" w:themeColor="accent1"/>
          <w:u w:val="single"/>
        </w:rPr>
      </w:pPr>
    </w:p>
    <w:p w14:paraId="051D4C2D" w14:textId="77777777" w:rsidR="00540AF2" w:rsidRDefault="00540AF2">
      <w:pPr>
        <w:rPr>
          <w:color w:val="4F81BD" w:themeColor="accent1"/>
          <w:u w:val="single"/>
        </w:rPr>
      </w:pPr>
    </w:p>
    <w:p w14:paraId="2D13A9D8" w14:textId="77777777" w:rsidR="00540AF2" w:rsidRDefault="00540AF2">
      <w:pPr>
        <w:rPr>
          <w:color w:val="4F81BD" w:themeColor="accent1"/>
          <w:u w:val="single"/>
        </w:rPr>
      </w:pPr>
    </w:p>
    <w:p w14:paraId="383E73F7" w14:textId="50000D86" w:rsidR="00D679B8" w:rsidRPr="00882808" w:rsidRDefault="00D8018D">
      <w:pPr>
        <w:rPr>
          <w:color w:val="4F81BD" w:themeColor="accent1"/>
          <w:sz w:val="28"/>
          <w:szCs w:val="28"/>
          <w:u w:val="single"/>
        </w:rPr>
      </w:pPr>
      <w:r w:rsidRPr="00882808">
        <w:rPr>
          <w:color w:val="4F81BD" w:themeColor="accent1"/>
          <w:sz w:val="28"/>
          <w:szCs w:val="28"/>
          <w:u w:val="single"/>
        </w:rPr>
        <w:t>Table of contents</w:t>
      </w:r>
    </w:p>
    <w:p w14:paraId="253E8D8C" w14:textId="77777777" w:rsidR="00D679B8" w:rsidRPr="00882808" w:rsidRDefault="00D679B8">
      <w:pPr>
        <w:rPr>
          <w:color w:val="4F81BD" w:themeColor="accent1"/>
          <w:sz w:val="28"/>
          <w:szCs w:val="28"/>
          <w:u w:val="single"/>
        </w:rPr>
      </w:pPr>
    </w:p>
    <w:p w14:paraId="33A23349" w14:textId="5FD65658" w:rsidR="00531244" w:rsidRPr="00531244" w:rsidRDefault="00D679B8">
      <w:pPr>
        <w:pStyle w:val="TOC1"/>
        <w:rPr>
          <w:rFonts w:eastAsiaTheme="minorEastAsia"/>
          <w:color w:val="auto"/>
          <w:sz w:val="28"/>
          <w:szCs w:val="28"/>
          <w:lang w:val="nl-NL" w:eastAsia="nl-NL"/>
        </w:rPr>
      </w:pPr>
      <w:r w:rsidRPr="00531244">
        <w:rPr>
          <w:sz w:val="28"/>
          <w:szCs w:val="28"/>
          <w:u w:val="single"/>
        </w:rPr>
        <w:fldChar w:fldCharType="begin"/>
      </w:r>
      <w:r w:rsidRPr="00531244">
        <w:rPr>
          <w:sz w:val="28"/>
          <w:szCs w:val="28"/>
          <w:u w:val="single"/>
        </w:rPr>
        <w:instrText xml:space="preserve"> TOC \o "1-3" \h \z \u </w:instrText>
      </w:r>
      <w:r w:rsidRPr="00531244">
        <w:rPr>
          <w:sz w:val="28"/>
          <w:szCs w:val="28"/>
          <w:u w:val="single"/>
        </w:rPr>
        <w:fldChar w:fldCharType="separate"/>
      </w:r>
      <w:hyperlink w:anchor="_Toc66776385" w:history="1">
        <w:r w:rsidR="00531244" w:rsidRPr="00531244">
          <w:rPr>
            <w:rStyle w:val="Hyperlink"/>
            <w:rFonts w:cstheme="minorHAnsi"/>
            <w:sz w:val="28"/>
            <w:szCs w:val="28"/>
          </w:rPr>
          <w:t>1.</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Introduction</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_Toc66776385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3</w:t>
        </w:r>
        <w:r w:rsidR="00531244" w:rsidRPr="00531244">
          <w:rPr>
            <w:webHidden/>
            <w:sz w:val="28"/>
            <w:szCs w:val="28"/>
          </w:rPr>
          <w:fldChar w:fldCharType="end"/>
        </w:r>
      </w:hyperlink>
    </w:p>
    <w:p w14:paraId="70963F60" w14:textId="55B371CA" w:rsidR="00531244" w:rsidRPr="00531244" w:rsidRDefault="008C451F">
      <w:pPr>
        <w:pStyle w:val="TOC1"/>
        <w:rPr>
          <w:rFonts w:eastAsiaTheme="minorEastAsia"/>
          <w:color w:val="auto"/>
          <w:sz w:val="28"/>
          <w:szCs w:val="28"/>
          <w:lang w:val="nl-NL" w:eastAsia="nl-NL"/>
        </w:rPr>
      </w:pPr>
      <w:hyperlink w:anchor="_Toc66776386" w:history="1">
        <w:r w:rsidR="00531244" w:rsidRPr="00531244">
          <w:rPr>
            <w:rStyle w:val="Hyperlink"/>
            <w:rFonts w:cstheme="minorHAnsi"/>
            <w:sz w:val="28"/>
            <w:szCs w:val="28"/>
          </w:rPr>
          <w:t>2.</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Some remarks</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_Toc66776386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3</w:t>
        </w:r>
        <w:r w:rsidR="00531244" w:rsidRPr="00531244">
          <w:rPr>
            <w:webHidden/>
            <w:sz w:val="28"/>
            <w:szCs w:val="28"/>
          </w:rPr>
          <w:fldChar w:fldCharType="end"/>
        </w:r>
      </w:hyperlink>
    </w:p>
    <w:p w14:paraId="4F0A2722" w14:textId="3D754190" w:rsidR="00531244" w:rsidRPr="00531244" w:rsidRDefault="008C451F">
      <w:pPr>
        <w:pStyle w:val="TOC1"/>
        <w:rPr>
          <w:rFonts w:eastAsiaTheme="minorEastAsia"/>
          <w:color w:val="auto"/>
          <w:sz w:val="28"/>
          <w:szCs w:val="28"/>
          <w:lang w:val="nl-NL" w:eastAsia="nl-NL"/>
        </w:rPr>
      </w:pPr>
      <w:hyperlink w:anchor="_Toc66776387" w:history="1">
        <w:r w:rsidR="00531244" w:rsidRPr="00531244">
          <w:rPr>
            <w:rStyle w:val="Hyperlink"/>
            <w:rFonts w:cstheme="minorHAnsi"/>
            <w:sz w:val="28"/>
            <w:szCs w:val="28"/>
          </w:rPr>
          <w:t>3.</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Appendix U: Differences between the 2020 version and the 2011 version</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_Toc66776387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4</w:t>
        </w:r>
        <w:r w:rsidR="00531244" w:rsidRPr="00531244">
          <w:rPr>
            <w:webHidden/>
            <w:sz w:val="28"/>
            <w:szCs w:val="28"/>
          </w:rPr>
          <w:fldChar w:fldCharType="end"/>
        </w:r>
      </w:hyperlink>
    </w:p>
    <w:p w14:paraId="538C147F" w14:textId="2DC6164E" w:rsidR="00531244" w:rsidRPr="00531244" w:rsidRDefault="008C451F">
      <w:pPr>
        <w:pStyle w:val="TOC1"/>
        <w:rPr>
          <w:rFonts w:eastAsiaTheme="minorEastAsia"/>
          <w:color w:val="auto"/>
          <w:sz w:val="28"/>
          <w:szCs w:val="28"/>
          <w:lang w:val="nl-NL" w:eastAsia="nl-NL"/>
        </w:rPr>
      </w:pPr>
      <w:hyperlink w:anchor="_Toc66776388" w:history="1">
        <w:r w:rsidR="00531244" w:rsidRPr="00531244">
          <w:rPr>
            <w:rStyle w:val="Hyperlink"/>
            <w:rFonts w:cstheme="minorHAnsi"/>
            <w:sz w:val="28"/>
            <w:szCs w:val="28"/>
          </w:rPr>
          <w:t>4.</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Integral text of PGS 8 2011 version (embedded)</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_Toc66776388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9</w:t>
        </w:r>
        <w:r w:rsidR="00531244" w:rsidRPr="00531244">
          <w:rPr>
            <w:webHidden/>
            <w:sz w:val="28"/>
            <w:szCs w:val="28"/>
          </w:rPr>
          <w:fldChar w:fldCharType="end"/>
        </w:r>
      </w:hyperlink>
    </w:p>
    <w:p w14:paraId="3FFB417A" w14:textId="5745C9CD" w:rsidR="00531244" w:rsidRPr="00531244" w:rsidRDefault="008C451F">
      <w:pPr>
        <w:pStyle w:val="TOC1"/>
        <w:rPr>
          <w:rFonts w:eastAsiaTheme="minorEastAsia"/>
          <w:color w:val="auto"/>
          <w:sz w:val="28"/>
          <w:szCs w:val="28"/>
          <w:lang w:val="nl-NL" w:eastAsia="nl-NL"/>
        </w:rPr>
      </w:pPr>
      <w:hyperlink w:anchor="_Toc66776389" w:history="1">
        <w:r w:rsidR="00531244" w:rsidRPr="00531244">
          <w:rPr>
            <w:rStyle w:val="Hyperlink"/>
            <w:rFonts w:cstheme="minorHAnsi"/>
            <w:sz w:val="28"/>
            <w:szCs w:val="28"/>
          </w:rPr>
          <w:t>5.</w:t>
        </w:r>
        <w:r w:rsidR="00531244" w:rsidRPr="00531244">
          <w:rPr>
            <w:rFonts w:eastAsiaTheme="minorEastAsia"/>
            <w:color w:val="auto"/>
            <w:sz w:val="28"/>
            <w:szCs w:val="28"/>
            <w:lang w:val="nl-NL" w:eastAsia="nl-NL"/>
          </w:rPr>
          <w:tab/>
        </w:r>
        <w:r w:rsidR="00531244" w:rsidRPr="00531244">
          <w:rPr>
            <w:rStyle w:val="Hyperlink"/>
            <w:rFonts w:cstheme="minorHAnsi"/>
            <w:sz w:val="28"/>
            <w:szCs w:val="28"/>
          </w:rPr>
          <w:t>Table Organic peroxides and storage classifications (embedded)</w:t>
        </w:r>
        <w:r w:rsidR="00531244" w:rsidRPr="00531244">
          <w:rPr>
            <w:webHidden/>
            <w:sz w:val="28"/>
            <w:szCs w:val="28"/>
          </w:rPr>
          <w:tab/>
        </w:r>
        <w:r w:rsidR="00531244" w:rsidRPr="00531244">
          <w:rPr>
            <w:webHidden/>
            <w:sz w:val="28"/>
            <w:szCs w:val="28"/>
          </w:rPr>
          <w:fldChar w:fldCharType="begin"/>
        </w:r>
        <w:r w:rsidR="00531244" w:rsidRPr="00531244">
          <w:rPr>
            <w:webHidden/>
            <w:sz w:val="28"/>
            <w:szCs w:val="28"/>
          </w:rPr>
          <w:instrText xml:space="preserve"> PAGEREF _Toc66776389 \h </w:instrText>
        </w:r>
        <w:r w:rsidR="00531244" w:rsidRPr="00531244">
          <w:rPr>
            <w:webHidden/>
            <w:sz w:val="28"/>
            <w:szCs w:val="28"/>
          </w:rPr>
        </w:r>
        <w:r w:rsidR="00531244" w:rsidRPr="00531244">
          <w:rPr>
            <w:webHidden/>
            <w:sz w:val="28"/>
            <w:szCs w:val="28"/>
          </w:rPr>
          <w:fldChar w:fldCharType="separate"/>
        </w:r>
        <w:r w:rsidR="00531244" w:rsidRPr="00531244">
          <w:rPr>
            <w:webHidden/>
            <w:sz w:val="28"/>
            <w:szCs w:val="28"/>
          </w:rPr>
          <w:t>9</w:t>
        </w:r>
        <w:r w:rsidR="00531244" w:rsidRPr="00531244">
          <w:rPr>
            <w:webHidden/>
            <w:sz w:val="28"/>
            <w:szCs w:val="28"/>
          </w:rPr>
          <w:fldChar w:fldCharType="end"/>
        </w:r>
      </w:hyperlink>
    </w:p>
    <w:p w14:paraId="19EC5026" w14:textId="250BAA08" w:rsidR="00D8018D" w:rsidRPr="00D8018D" w:rsidRDefault="00D679B8">
      <w:pPr>
        <w:rPr>
          <w:color w:val="4F81BD" w:themeColor="accent1"/>
          <w:u w:val="single"/>
        </w:rPr>
      </w:pPr>
      <w:r w:rsidRPr="00531244">
        <w:rPr>
          <w:color w:val="4F81BD" w:themeColor="accent1"/>
          <w:sz w:val="28"/>
          <w:szCs w:val="28"/>
          <w:u w:val="single"/>
        </w:rPr>
        <w:fldChar w:fldCharType="end"/>
      </w:r>
      <w:r w:rsidR="00D8018D" w:rsidRPr="00D8018D">
        <w:rPr>
          <w:color w:val="4F81BD" w:themeColor="accent1"/>
          <w:u w:val="single"/>
        </w:rPr>
        <w:br w:type="page"/>
      </w:r>
    </w:p>
    <w:p w14:paraId="08B3315F" w14:textId="4A892215" w:rsidR="008D6611" w:rsidRPr="00E72E48" w:rsidRDefault="008D6611" w:rsidP="00E72E48">
      <w:pPr>
        <w:pStyle w:val="Heading1"/>
        <w:numPr>
          <w:ilvl w:val="0"/>
          <w:numId w:val="14"/>
        </w:numPr>
        <w:spacing w:before="0" w:after="120"/>
        <w:ind w:left="357" w:hanging="357"/>
        <w:rPr>
          <w:rFonts w:asciiTheme="minorHAnsi" w:hAnsiTheme="minorHAnsi" w:cstheme="minorHAnsi"/>
          <w:sz w:val="28"/>
          <w:szCs w:val="28"/>
        </w:rPr>
      </w:pPr>
      <w:bookmarkStart w:id="0" w:name="_Toc66776385"/>
      <w:r w:rsidRPr="00E72E48">
        <w:rPr>
          <w:rFonts w:asciiTheme="minorHAnsi" w:hAnsiTheme="minorHAnsi" w:cstheme="minorHAnsi"/>
          <w:sz w:val="28"/>
          <w:szCs w:val="28"/>
        </w:rPr>
        <w:lastRenderedPageBreak/>
        <w:t>Introduction</w:t>
      </w:r>
      <w:bookmarkEnd w:id="0"/>
    </w:p>
    <w:p w14:paraId="4C605A8E" w14:textId="35971BD8" w:rsidR="002F3574" w:rsidRDefault="008D6611" w:rsidP="00E72E48">
      <w:pPr>
        <w:spacing w:after="0"/>
        <w:jc w:val="both"/>
        <w:rPr>
          <w:color w:val="4F81BD" w:themeColor="accent1"/>
        </w:rPr>
      </w:pPr>
      <w:r w:rsidRPr="00882808">
        <w:rPr>
          <w:color w:val="4F81BD" w:themeColor="accent1"/>
        </w:rPr>
        <w:t>A new version of the Dutch Guideline for storage of organic peroxides (the PGS 8) was published in 2020</w:t>
      </w:r>
      <w:r w:rsidR="00A966D0" w:rsidRPr="00882808">
        <w:rPr>
          <w:color w:val="4F81BD" w:themeColor="accent1"/>
        </w:rPr>
        <w:t xml:space="preserve"> (PGS 8:2020</w:t>
      </w:r>
      <w:r w:rsidR="00C8348E">
        <w:rPr>
          <w:color w:val="4F81BD" w:themeColor="accent1"/>
        </w:rPr>
        <w:t xml:space="preserve"> version 0.2, April 2020</w:t>
      </w:r>
      <w:r w:rsidR="00A966D0" w:rsidRPr="00882808">
        <w:rPr>
          <w:color w:val="4F81BD" w:themeColor="accent1"/>
        </w:rPr>
        <w:t>)</w:t>
      </w:r>
      <w:r w:rsidRPr="00882808">
        <w:rPr>
          <w:color w:val="4F81BD" w:themeColor="accent1"/>
        </w:rPr>
        <w:t xml:space="preserve">. </w:t>
      </w:r>
      <w:r w:rsidR="00455D28" w:rsidRPr="00882808">
        <w:rPr>
          <w:color w:val="4F81BD" w:themeColor="accent1"/>
        </w:rPr>
        <w:t>The most important substantive differences between the new and the previous version of the PGS 8 (PGS 8:2011</w:t>
      </w:r>
      <w:r w:rsidR="00977CB0">
        <w:rPr>
          <w:color w:val="4F81BD" w:themeColor="accent1"/>
        </w:rPr>
        <w:t xml:space="preserve"> version 1.0, December 2011</w:t>
      </w:r>
      <w:r w:rsidR="00455D28" w:rsidRPr="00882808">
        <w:rPr>
          <w:color w:val="4F81BD" w:themeColor="accent1"/>
        </w:rPr>
        <w:t xml:space="preserve">) are summarized in appendix U of the new publication. </w:t>
      </w:r>
    </w:p>
    <w:p w14:paraId="5AAB3E1F" w14:textId="0C9F0A71" w:rsidR="005A7769" w:rsidRDefault="008D6611" w:rsidP="00E72E48">
      <w:pPr>
        <w:spacing w:after="0"/>
        <w:jc w:val="both"/>
        <w:rPr>
          <w:color w:val="4F81BD" w:themeColor="accent1"/>
        </w:rPr>
      </w:pPr>
      <w:r w:rsidRPr="00882808">
        <w:rPr>
          <w:color w:val="4F81BD" w:themeColor="accent1"/>
        </w:rPr>
        <w:t>Th</w:t>
      </w:r>
      <w:r w:rsidR="00455D28" w:rsidRPr="00882808">
        <w:rPr>
          <w:color w:val="4F81BD" w:themeColor="accent1"/>
        </w:rPr>
        <w:t>e</w:t>
      </w:r>
      <w:r w:rsidRPr="00882808">
        <w:rPr>
          <w:color w:val="4F81BD" w:themeColor="accent1"/>
        </w:rPr>
        <w:t xml:space="preserve"> </w:t>
      </w:r>
      <w:r w:rsidR="00455D28" w:rsidRPr="00882808">
        <w:rPr>
          <w:color w:val="4F81BD" w:themeColor="accent1"/>
        </w:rPr>
        <w:t>2020</w:t>
      </w:r>
      <w:r w:rsidRPr="00882808">
        <w:rPr>
          <w:color w:val="4F81BD" w:themeColor="accent1"/>
        </w:rPr>
        <w:t xml:space="preserve"> version </w:t>
      </w:r>
      <w:r w:rsidR="00455D28" w:rsidRPr="00882808">
        <w:rPr>
          <w:color w:val="4F81BD" w:themeColor="accent1"/>
        </w:rPr>
        <w:t xml:space="preserve">is </w:t>
      </w:r>
      <w:r w:rsidRPr="00882808">
        <w:rPr>
          <w:color w:val="4F81BD" w:themeColor="accent1"/>
        </w:rPr>
        <w:t>not</w:t>
      </w:r>
      <w:r w:rsidRPr="00C72C67">
        <w:rPr>
          <w:color w:val="4F81BD" w:themeColor="accent1"/>
        </w:rPr>
        <w:t xml:space="preserve"> </w:t>
      </w:r>
      <w:r w:rsidRPr="00882808">
        <w:rPr>
          <w:color w:val="4F81BD" w:themeColor="accent1"/>
        </w:rPr>
        <w:t>translated into English.</w:t>
      </w:r>
      <w:r w:rsidR="00455D28" w:rsidRPr="00882808">
        <w:rPr>
          <w:color w:val="4F81BD" w:themeColor="accent1"/>
        </w:rPr>
        <w:t xml:space="preserve"> To make the new version also accessible outside the Netherlands, appendix U was translated into English. </w:t>
      </w:r>
      <w:r w:rsidR="005A7769" w:rsidRPr="00882808">
        <w:rPr>
          <w:color w:val="4F81BD" w:themeColor="accent1"/>
        </w:rPr>
        <w:t xml:space="preserve">Together with the existing English translation of the 2011 version, this gives an up-to-date representation of the contents of the new PGS 8. </w:t>
      </w:r>
    </w:p>
    <w:p w14:paraId="2179C1FC" w14:textId="7DE6B9D0" w:rsidR="00977CB0" w:rsidRDefault="002F3574" w:rsidP="00E72E48">
      <w:pPr>
        <w:spacing w:after="0"/>
        <w:jc w:val="both"/>
        <w:rPr>
          <w:color w:val="4F81BD" w:themeColor="accent1"/>
        </w:rPr>
      </w:pPr>
      <w:r>
        <w:rPr>
          <w:color w:val="4F81BD" w:themeColor="accent1"/>
        </w:rPr>
        <w:t>Section 3 of t</w:t>
      </w:r>
      <w:r w:rsidR="005A7769" w:rsidRPr="00882808">
        <w:rPr>
          <w:color w:val="4F81BD" w:themeColor="accent1"/>
        </w:rPr>
        <w:t>h</w:t>
      </w:r>
      <w:r w:rsidR="0067788A" w:rsidRPr="00882808">
        <w:rPr>
          <w:color w:val="4F81BD" w:themeColor="accent1"/>
        </w:rPr>
        <w:t>is</w:t>
      </w:r>
      <w:r w:rsidR="005A7769" w:rsidRPr="00882808">
        <w:rPr>
          <w:color w:val="4F81BD" w:themeColor="accent1"/>
        </w:rPr>
        <w:t xml:space="preserve"> </w:t>
      </w:r>
      <w:r w:rsidR="0067788A" w:rsidRPr="00882808">
        <w:rPr>
          <w:color w:val="4F81BD" w:themeColor="accent1"/>
        </w:rPr>
        <w:t xml:space="preserve">Technical Bulletin contains the </w:t>
      </w:r>
      <w:r w:rsidR="005A7769" w:rsidRPr="00882808">
        <w:rPr>
          <w:color w:val="4F81BD" w:themeColor="accent1"/>
        </w:rPr>
        <w:t>English translation of appendix U.</w:t>
      </w:r>
      <w:r w:rsidR="00BC1998" w:rsidRPr="00882808">
        <w:rPr>
          <w:color w:val="4F81BD" w:themeColor="accent1"/>
        </w:rPr>
        <w:t xml:space="preserve"> </w:t>
      </w:r>
      <w:r>
        <w:rPr>
          <w:color w:val="4F81BD" w:themeColor="accent1"/>
        </w:rPr>
        <w:t xml:space="preserve">The integral text of PGS 8:2011 is included in section 4 as </w:t>
      </w:r>
      <w:r w:rsidR="00C8348E">
        <w:rPr>
          <w:color w:val="4F81BD" w:themeColor="accent1"/>
        </w:rPr>
        <w:t xml:space="preserve">an </w:t>
      </w:r>
      <w:r>
        <w:rPr>
          <w:color w:val="4F81BD" w:themeColor="accent1"/>
        </w:rPr>
        <w:t xml:space="preserve">embedded </w:t>
      </w:r>
      <w:r w:rsidR="00C8348E">
        <w:rPr>
          <w:color w:val="4F81BD" w:themeColor="accent1"/>
        </w:rPr>
        <w:t xml:space="preserve">file. And section 5 contains as embedded file the table of organic peroxides and storage classifications as included in the PGS 8:2020 version 0.2 (April 2020). It should be noted that this table may be updated in the future. </w:t>
      </w:r>
      <w:r w:rsidR="00977CB0">
        <w:rPr>
          <w:color w:val="4F81BD" w:themeColor="accent1"/>
        </w:rPr>
        <w:t>The current table can be found on the next website</w:t>
      </w:r>
      <w:r w:rsidR="00C0479D">
        <w:rPr>
          <w:color w:val="4F81BD" w:themeColor="accent1"/>
        </w:rPr>
        <w:t>:</w:t>
      </w:r>
      <w:r w:rsidR="00977CB0">
        <w:rPr>
          <w:color w:val="4F81BD" w:themeColor="accent1"/>
        </w:rPr>
        <w:t xml:space="preserve"> </w:t>
      </w:r>
      <w:hyperlink r:id="rId13" w:history="1">
        <w:r w:rsidR="00977CB0" w:rsidRPr="001227D9">
          <w:rPr>
            <w:rStyle w:val="Hyperlink"/>
          </w:rPr>
          <w:t>www.publicatiereeksgevaarlijkestoffen.nl</w:t>
        </w:r>
      </w:hyperlink>
    </w:p>
    <w:p w14:paraId="732250BB" w14:textId="06800043" w:rsidR="00E72E48" w:rsidRDefault="00E72E48" w:rsidP="00E72E48">
      <w:pPr>
        <w:spacing w:after="0"/>
        <w:jc w:val="both"/>
        <w:rPr>
          <w:color w:val="4F81BD" w:themeColor="accent1"/>
        </w:rPr>
      </w:pPr>
    </w:p>
    <w:p w14:paraId="7796B439" w14:textId="77777777" w:rsidR="00E72E48" w:rsidRDefault="00E72E48" w:rsidP="00E72E48">
      <w:pPr>
        <w:spacing w:after="0"/>
        <w:jc w:val="both"/>
        <w:rPr>
          <w:color w:val="4F81BD" w:themeColor="accent1"/>
        </w:rPr>
      </w:pPr>
    </w:p>
    <w:p w14:paraId="2CAE707E" w14:textId="731230CE" w:rsidR="00BC1998" w:rsidRPr="00E72E48" w:rsidRDefault="00BC1998" w:rsidP="00E72E48">
      <w:pPr>
        <w:pStyle w:val="Heading1"/>
        <w:numPr>
          <w:ilvl w:val="0"/>
          <w:numId w:val="14"/>
        </w:numPr>
        <w:spacing w:before="0" w:after="120"/>
        <w:ind w:left="357" w:hanging="357"/>
        <w:rPr>
          <w:rFonts w:asciiTheme="minorHAnsi" w:hAnsiTheme="minorHAnsi" w:cstheme="minorHAnsi"/>
          <w:sz w:val="28"/>
          <w:szCs w:val="28"/>
        </w:rPr>
      </w:pPr>
      <w:bookmarkStart w:id="1" w:name="_Toc66776386"/>
      <w:r w:rsidRPr="00E72E48">
        <w:rPr>
          <w:rFonts w:asciiTheme="minorHAnsi" w:hAnsiTheme="minorHAnsi" w:cstheme="minorHAnsi"/>
          <w:sz w:val="28"/>
          <w:szCs w:val="28"/>
        </w:rPr>
        <w:t>Some remarks</w:t>
      </w:r>
      <w:bookmarkEnd w:id="1"/>
    </w:p>
    <w:p w14:paraId="73975048" w14:textId="4F409F52" w:rsidR="00BC1998" w:rsidRPr="00882808" w:rsidRDefault="00C0479D" w:rsidP="002F3574">
      <w:pPr>
        <w:pStyle w:val="ListParagraph"/>
        <w:numPr>
          <w:ilvl w:val="0"/>
          <w:numId w:val="3"/>
        </w:numPr>
        <w:spacing w:after="0"/>
        <w:ind w:left="426" w:hanging="284"/>
        <w:jc w:val="both"/>
        <w:rPr>
          <w:color w:val="4F81BD" w:themeColor="accent1"/>
        </w:rPr>
      </w:pPr>
      <w:r>
        <w:rPr>
          <w:color w:val="4F81BD" w:themeColor="accent1"/>
        </w:rPr>
        <w:t>Additional</w:t>
      </w:r>
      <w:r w:rsidR="0067788A" w:rsidRPr="00882808">
        <w:rPr>
          <w:color w:val="4F81BD" w:themeColor="accent1"/>
        </w:rPr>
        <w:t xml:space="preserve"> </w:t>
      </w:r>
      <w:r w:rsidR="00BC1998" w:rsidRPr="00882808">
        <w:rPr>
          <w:color w:val="4F81BD" w:themeColor="accent1"/>
        </w:rPr>
        <w:t>information</w:t>
      </w:r>
      <w:r>
        <w:rPr>
          <w:color w:val="4F81BD" w:themeColor="accent1"/>
        </w:rPr>
        <w:t xml:space="preserve"> about appendix U</w:t>
      </w:r>
      <w:r w:rsidR="0067788A" w:rsidRPr="00882808">
        <w:rPr>
          <w:color w:val="4F81BD" w:themeColor="accent1"/>
        </w:rPr>
        <w:t xml:space="preserve"> </w:t>
      </w:r>
      <w:r w:rsidR="00BC1998" w:rsidRPr="00882808">
        <w:rPr>
          <w:color w:val="4F81BD" w:themeColor="accent1"/>
        </w:rPr>
        <w:t>is</w:t>
      </w:r>
      <w:r w:rsidR="0067788A" w:rsidRPr="00882808">
        <w:rPr>
          <w:color w:val="4F81BD" w:themeColor="accent1"/>
        </w:rPr>
        <w:t xml:space="preserve"> mentioned as note</w:t>
      </w:r>
      <w:r w:rsidR="00BC1998" w:rsidRPr="00882808">
        <w:rPr>
          <w:color w:val="4F81BD" w:themeColor="accent1"/>
        </w:rPr>
        <w:t>s</w:t>
      </w:r>
      <w:r w:rsidR="0067788A" w:rsidRPr="00882808">
        <w:rPr>
          <w:color w:val="4F81BD" w:themeColor="accent1"/>
        </w:rPr>
        <w:t xml:space="preserve"> at the bottom of the pages</w:t>
      </w:r>
      <w:r w:rsidR="00000BCC">
        <w:rPr>
          <w:color w:val="4F81BD" w:themeColor="accent1"/>
        </w:rPr>
        <w:t xml:space="preserve"> of section 3</w:t>
      </w:r>
      <w:r w:rsidR="0067788A" w:rsidRPr="00882808">
        <w:rPr>
          <w:color w:val="4F81BD" w:themeColor="accent1"/>
        </w:rPr>
        <w:t xml:space="preserve">. </w:t>
      </w:r>
      <w:r w:rsidR="008D6611" w:rsidRPr="00882808">
        <w:rPr>
          <w:color w:val="4F81BD" w:themeColor="accent1"/>
        </w:rPr>
        <w:t xml:space="preserve"> </w:t>
      </w:r>
    </w:p>
    <w:p w14:paraId="5D79B7E4" w14:textId="58167128" w:rsidR="008D6611" w:rsidRPr="00882808" w:rsidRDefault="00BC1998" w:rsidP="002F3574">
      <w:pPr>
        <w:pStyle w:val="ListParagraph"/>
        <w:numPr>
          <w:ilvl w:val="0"/>
          <w:numId w:val="3"/>
        </w:numPr>
        <w:spacing w:after="0"/>
        <w:ind w:left="426" w:hanging="284"/>
        <w:jc w:val="both"/>
        <w:rPr>
          <w:color w:val="4F81BD" w:themeColor="accent1"/>
        </w:rPr>
      </w:pPr>
      <w:r w:rsidRPr="00882808">
        <w:rPr>
          <w:color w:val="4F81BD" w:themeColor="accent1"/>
        </w:rPr>
        <w:t xml:space="preserve">In the new version of the PGS 8 each measure has a </w:t>
      </w:r>
      <w:r w:rsidR="00E71E6D" w:rsidRPr="00882808">
        <w:rPr>
          <w:color w:val="4F81BD" w:themeColor="accent1"/>
        </w:rPr>
        <w:t>M-</w:t>
      </w:r>
      <w:r w:rsidRPr="00882808">
        <w:rPr>
          <w:color w:val="4F81BD" w:themeColor="accent1"/>
        </w:rPr>
        <w:t>number. The</w:t>
      </w:r>
      <w:r w:rsidR="00000BCC">
        <w:rPr>
          <w:color w:val="4F81BD" w:themeColor="accent1"/>
        </w:rPr>
        <w:t>se numbers</w:t>
      </w:r>
      <w:r w:rsidR="00E71E6D" w:rsidRPr="00882808">
        <w:rPr>
          <w:color w:val="4F81BD" w:themeColor="accent1"/>
        </w:rPr>
        <w:t xml:space="preserve"> are</w:t>
      </w:r>
      <w:r w:rsidR="000456BF" w:rsidRPr="00882808">
        <w:rPr>
          <w:color w:val="4F81BD" w:themeColor="accent1"/>
        </w:rPr>
        <w:t xml:space="preserve"> </w:t>
      </w:r>
      <w:r w:rsidRPr="00882808">
        <w:rPr>
          <w:color w:val="4F81BD" w:themeColor="accent1"/>
        </w:rPr>
        <w:t>mentioned in appendix U</w:t>
      </w:r>
      <w:r w:rsidR="00000BCC">
        <w:rPr>
          <w:color w:val="4F81BD" w:themeColor="accent1"/>
        </w:rPr>
        <w:t xml:space="preserve"> for reference to these measures</w:t>
      </w:r>
      <w:r w:rsidRPr="00882808">
        <w:rPr>
          <w:color w:val="4F81BD" w:themeColor="accent1"/>
        </w:rPr>
        <w:t xml:space="preserve">. </w:t>
      </w:r>
    </w:p>
    <w:p w14:paraId="10870250" w14:textId="5F9C2450" w:rsidR="004F5B90" w:rsidRPr="00882808" w:rsidRDefault="004F5B90" w:rsidP="002F3574">
      <w:pPr>
        <w:pStyle w:val="ListParagraph"/>
        <w:numPr>
          <w:ilvl w:val="0"/>
          <w:numId w:val="3"/>
        </w:numPr>
        <w:spacing w:after="0"/>
        <w:ind w:left="426" w:hanging="284"/>
        <w:jc w:val="both"/>
        <w:rPr>
          <w:color w:val="4F81BD" w:themeColor="accent1"/>
        </w:rPr>
      </w:pPr>
      <w:proofErr w:type="gramStart"/>
      <w:r w:rsidRPr="00882808">
        <w:rPr>
          <w:color w:val="4F81BD" w:themeColor="accent1"/>
        </w:rPr>
        <w:t>A number</w:t>
      </w:r>
      <w:r w:rsidR="000456BF" w:rsidRPr="00882808">
        <w:rPr>
          <w:color w:val="4F81BD" w:themeColor="accent1"/>
        </w:rPr>
        <w:t xml:space="preserve"> </w:t>
      </w:r>
      <w:r w:rsidRPr="00882808">
        <w:rPr>
          <w:color w:val="4F81BD" w:themeColor="accent1"/>
        </w:rPr>
        <w:t>of</w:t>
      </w:r>
      <w:proofErr w:type="gramEnd"/>
      <w:r w:rsidRPr="00882808">
        <w:rPr>
          <w:color w:val="4F81BD" w:themeColor="accent1"/>
        </w:rPr>
        <w:t xml:space="preserve"> measures contain substantive changes. The implementation periods for these changes are mentioned in appendix V of the new version of the PGS 8. </w:t>
      </w:r>
      <w:r w:rsidR="00B97B01" w:rsidRPr="00882808">
        <w:rPr>
          <w:color w:val="4F81BD" w:themeColor="accent1"/>
        </w:rPr>
        <w:t>Appendix U refers to this appendix V.</w:t>
      </w:r>
    </w:p>
    <w:p w14:paraId="1FAEDEB2" w14:textId="22E1DE90" w:rsidR="007608F9" w:rsidRDefault="002F4908" w:rsidP="002F3574">
      <w:pPr>
        <w:pStyle w:val="ListParagraph"/>
        <w:numPr>
          <w:ilvl w:val="0"/>
          <w:numId w:val="3"/>
        </w:numPr>
        <w:spacing w:after="0"/>
        <w:ind w:left="426" w:hanging="284"/>
        <w:jc w:val="both"/>
        <w:rPr>
          <w:color w:val="4F81BD" w:themeColor="accent1"/>
        </w:rPr>
      </w:pPr>
      <w:r w:rsidRPr="00882808">
        <w:rPr>
          <w:color w:val="4F81BD" w:themeColor="accent1"/>
        </w:rPr>
        <w:t>If applicable, r</w:t>
      </w:r>
      <w:r w:rsidR="00BC1998" w:rsidRPr="00882808">
        <w:rPr>
          <w:color w:val="4F81BD" w:themeColor="accent1"/>
        </w:rPr>
        <w:t>eference is made to</w:t>
      </w:r>
      <w:r w:rsidR="00A966D0" w:rsidRPr="00882808">
        <w:rPr>
          <w:color w:val="4F81BD" w:themeColor="accent1"/>
        </w:rPr>
        <w:t xml:space="preserve"> the</w:t>
      </w:r>
      <w:r w:rsidR="00BC1998" w:rsidRPr="00882808">
        <w:rPr>
          <w:color w:val="4F81BD" w:themeColor="accent1"/>
        </w:rPr>
        <w:t xml:space="preserve"> relevant </w:t>
      </w:r>
      <w:r w:rsidR="002A7013" w:rsidRPr="00882808">
        <w:rPr>
          <w:color w:val="4F81BD" w:themeColor="accent1"/>
        </w:rPr>
        <w:t>section</w:t>
      </w:r>
      <w:r w:rsidR="00BC1998" w:rsidRPr="00882808">
        <w:rPr>
          <w:color w:val="4F81BD" w:themeColor="accent1"/>
        </w:rPr>
        <w:t xml:space="preserve"> of the 2011 version </w:t>
      </w:r>
      <w:r w:rsidRPr="00882808">
        <w:rPr>
          <w:color w:val="4F81BD" w:themeColor="accent1"/>
        </w:rPr>
        <w:t>for the change</w:t>
      </w:r>
      <w:r w:rsidR="00000BCC">
        <w:rPr>
          <w:color w:val="4F81BD" w:themeColor="accent1"/>
        </w:rPr>
        <w:t>s listed</w:t>
      </w:r>
      <w:r w:rsidRPr="00882808">
        <w:rPr>
          <w:color w:val="4F81BD" w:themeColor="accent1"/>
        </w:rPr>
        <w:t xml:space="preserve"> in appendix U</w:t>
      </w:r>
      <w:r w:rsidR="00000BCC">
        <w:rPr>
          <w:color w:val="4F81BD" w:themeColor="accent1"/>
        </w:rPr>
        <w:t>.</w:t>
      </w:r>
    </w:p>
    <w:p w14:paraId="3EBFD8CE" w14:textId="77777777" w:rsidR="007608F9" w:rsidRDefault="007608F9" w:rsidP="00882808">
      <w:pPr>
        <w:jc w:val="both"/>
        <w:rPr>
          <w:color w:val="4F81BD" w:themeColor="accent1"/>
        </w:rPr>
      </w:pPr>
      <w:r>
        <w:rPr>
          <w:color w:val="4F81BD" w:themeColor="accent1"/>
        </w:rPr>
        <w:br w:type="page"/>
      </w:r>
    </w:p>
    <w:p w14:paraId="15B2F68B" w14:textId="758E38D4" w:rsidR="00882284" w:rsidRPr="00E72E48" w:rsidRDefault="0031103E" w:rsidP="00E72E48">
      <w:pPr>
        <w:pStyle w:val="Heading1"/>
        <w:numPr>
          <w:ilvl w:val="0"/>
          <w:numId w:val="14"/>
        </w:numPr>
        <w:spacing w:before="0" w:after="120"/>
        <w:ind w:left="357" w:hanging="357"/>
        <w:rPr>
          <w:rFonts w:asciiTheme="minorHAnsi" w:hAnsiTheme="minorHAnsi" w:cstheme="minorHAnsi"/>
          <w:sz w:val="28"/>
          <w:szCs w:val="28"/>
        </w:rPr>
      </w:pPr>
      <w:bookmarkStart w:id="2" w:name="_Toc66706142"/>
      <w:bookmarkStart w:id="3" w:name="_Toc66776387"/>
      <w:bookmarkEnd w:id="2"/>
      <w:r w:rsidRPr="00E72E48">
        <w:rPr>
          <w:rFonts w:asciiTheme="minorHAnsi" w:hAnsiTheme="minorHAnsi" w:cstheme="minorHAnsi"/>
          <w:sz w:val="28"/>
          <w:szCs w:val="28"/>
        </w:rPr>
        <w:lastRenderedPageBreak/>
        <w:t>Appendix U</w:t>
      </w:r>
      <w:r w:rsidR="008230C9" w:rsidRPr="00E72E48">
        <w:rPr>
          <w:rFonts w:asciiTheme="minorHAnsi" w:hAnsiTheme="minorHAnsi" w:cstheme="minorHAnsi"/>
          <w:sz w:val="28"/>
          <w:szCs w:val="28"/>
        </w:rPr>
        <w:t>:</w:t>
      </w:r>
      <w:r w:rsidRPr="00E72E48">
        <w:rPr>
          <w:rFonts w:asciiTheme="minorHAnsi" w:hAnsiTheme="minorHAnsi" w:cstheme="minorHAnsi"/>
          <w:sz w:val="28"/>
          <w:szCs w:val="28"/>
        </w:rPr>
        <w:t xml:space="preserve"> Differences </w:t>
      </w:r>
      <w:r w:rsidR="00531244">
        <w:rPr>
          <w:rFonts w:asciiTheme="minorHAnsi" w:hAnsiTheme="minorHAnsi" w:cstheme="minorHAnsi"/>
          <w:sz w:val="28"/>
          <w:szCs w:val="28"/>
        </w:rPr>
        <w:t>between the 2020 version and</w:t>
      </w:r>
      <w:r w:rsidRPr="00E72E48">
        <w:rPr>
          <w:rFonts w:asciiTheme="minorHAnsi" w:hAnsiTheme="minorHAnsi" w:cstheme="minorHAnsi"/>
          <w:sz w:val="28"/>
          <w:szCs w:val="28"/>
        </w:rPr>
        <w:t xml:space="preserve"> the </w:t>
      </w:r>
      <w:r w:rsidR="00531244">
        <w:rPr>
          <w:rFonts w:asciiTheme="minorHAnsi" w:hAnsiTheme="minorHAnsi" w:cstheme="minorHAnsi"/>
          <w:sz w:val="28"/>
          <w:szCs w:val="28"/>
        </w:rPr>
        <w:t>2011</w:t>
      </w:r>
      <w:r w:rsidRPr="00E72E48">
        <w:rPr>
          <w:rFonts w:asciiTheme="minorHAnsi" w:hAnsiTheme="minorHAnsi" w:cstheme="minorHAnsi"/>
          <w:sz w:val="28"/>
          <w:szCs w:val="28"/>
        </w:rPr>
        <w:t xml:space="preserve"> version</w:t>
      </w:r>
      <w:bookmarkEnd w:id="3"/>
    </w:p>
    <w:p w14:paraId="5D20A351" w14:textId="02662636" w:rsidR="00E407DE" w:rsidRPr="00882808" w:rsidRDefault="00E407DE" w:rsidP="00583E82">
      <w:pPr>
        <w:spacing w:after="60"/>
        <w:jc w:val="both"/>
        <w:rPr>
          <w:b/>
          <w:bCs/>
          <w:color w:val="4F81BD" w:themeColor="accent1"/>
          <w:sz w:val="24"/>
          <w:szCs w:val="24"/>
        </w:rPr>
      </w:pPr>
      <w:r w:rsidRPr="00882808">
        <w:rPr>
          <w:b/>
          <w:bCs/>
          <w:color w:val="4F81BD" w:themeColor="accent1"/>
          <w:sz w:val="24"/>
          <w:szCs w:val="24"/>
        </w:rPr>
        <w:t>U.1</w:t>
      </w:r>
      <w:r w:rsidR="004875FC">
        <w:rPr>
          <w:b/>
          <w:bCs/>
          <w:color w:val="4F81BD" w:themeColor="accent1"/>
          <w:sz w:val="24"/>
          <w:szCs w:val="24"/>
        </w:rPr>
        <w:tab/>
      </w:r>
      <w:r w:rsidRPr="00882808">
        <w:rPr>
          <w:b/>
          <w:bCs/>
          <w:color w:val="4F81BD" w:themeColor="accent1"/>
          <w:sz w:val="24"/>
          <w:szCs w:val="24"/>
        </w:rPr>
        <w:t>I</w:t>
      </w:r>
      <w:r w:rsidR="00CE610D" w:rsidRPr="00882808">
        <w:rPr>
          <w:b/>
          <w:bCs/>
          <w:color w:val="4F81BD" w:themeColor="accent1"/>
          <w:sz w:val="24"/>
          <w:szCs w:val="24"/>
        </w:rPr>
        <w:t>ntroduction</w:t>
      </w:r>
      <w:r w:rsidRPr="00882808">
        <w:rPr>
          <w:b/>
          <w:bCs/>
          <w:color w:val="4F81BD" w:themeColor="accent1"/>
          <w:sz w:val="24"/>
          <w:szCs w:val="24"/>
        </w:rPr>
        <w:t xml:space="preserve"> </w:t>
      </w:r>
    </w:p>
    <w:p w14:paraId="6C0F4B56" w14:textId="5E53F24E" w:rsidR="007712F0" w:rsidRPr="00882808" w:rsidRDefault="007712F0" w:rsidP="00E72E48">
      <w:pPr>
        <w:spacing w:after="0"/>
        <w:jc w:val="both"/>
        <w:rPr>
          <w:color w:val="4F81BD" w:themeColor="accent1"/>
        </w:rPr>
      </w:pPr>
      <w:r w:rsidRPr="00882808">
        <w:rPr>
          <w:color w:val="4F81BD" w:themeColor="accent1"/>
        </w:rPr>
        <w:t>This PGS largely corresponds in terms of content to the previous version of this publication: PGS 8: 2011.</w:t>
      </w:r>
    </w:p>
    <w:p w14:paraId="5C7ED7B3" w14:textId="0468C816" w:rsidR="00D57C64" w:rsidRDefault="00FF5C62" w:rsidP="00E72E48">
      <w:pPr>
        <w:spacing w:after="0"/>
        <w:jc w:val="both"/>
        <w:rPr>
          <w:color w:val="4F81BD" w:themeColor="accent1"/>
        </w:rPr>
      </w:pPr>
      <w:proofErr w:type="gramStart"/>
      <w:r w:rsidRPr="00882808">
        <w:rPr>
          <w:color w:val="4F81BD" w:themeColor="accent1"/>
        </w:rPr>
        <w:t>A number of</w:t>
      </w:r>
      <w:proofErr w:type="gramEnd"/>
      <w:r w:rsidRPr="00882808">
        <w:rPr>
          <w:color w:val="4F81BD" w:themeColor="accent1"/>
        </w:rPr>
        <w:t xml:space="preserve"> measures are no longer included. This is because they do not arise from the risk a</w:t>
      </w:r>
      <w:r w:rsidR="00854DAF" w:rsidRPr="00882808">
        <w:rPr>
          <w:color w:val="4F81BD" w:themeColor="accent1"/>
        </w:rPr>
        <w:t>ssessment</w:t>
      </w:r>
      <w:r w:rsidRPr="00882808">
        <w:rPr>
          <w:color w:val="4F81BD" w:themeColor="accent1"/>
        </w:rPr>
        <w:t xml:space="preserve"> or have already been included in other legislation.</w:t>
      </w:r>
      <w:r w:rsidR="00D57C64">
        <w:rPr>
          <w:color w:val="4F81BD" w:themeColor="accent1"/>
        </w:rPr>
        <w:t xml:space="preserve"> </w:t>
      </w:r>
      <w:proofErr w:type="gramStart"/>
      <w:r w:rsidRPr="00882808">
        <w:rPr>
          <w:color w:val="4F81BD" w:themeColor="accent1"/>
        </w:rPr>
        <w:t>A number of</w:t>
      </w:r>
      <w:proofErr w:type="gramEnd"/>
      <w:r w:rsidRPr="00882808">
        <w:rPr>
          <w:color w:val="4F81BD" w:themeColor="accent1"/>
        </w:rPr>
        <w:t xml:space="preserve"> measures</w:t>
      </w:r>
      <w:r w:rsidR="009434B5" w:rsidRPr="00882808">
        <w:rPr>
          <w:color w:val="4F81BD" w:themeColor="accent1"/>
        </w:rPr>
        <w:t xml:space="preserve"> contain substantive </w:t>
      </w:r>
      <w:r w:rsidRPr="00882808">
        <w:rPr>
          <w:color w:val="4F81BD" w:themeColor="accent1"/>
        </w:rPr>
        <w:t>change</w:t>
      </w:r>
      <w:r w:rsidR="009434B5" w:rsidRPr="00882808">
        <w:rPr>
          <w:color w:val="4F81BD" w:themeColor="accent1"/>
        </w:rPr>
        <w:t>s</w:t>
      </w:r>
      <w:r w:rsidRPr="00882808">
        <w:rPr>
          <w:color w:val="4F81BD" w:themeColor="accent1"/>
        </w:rPr>
        <w:t xml:space="preserve">. This was done </w:t>
      </w:r>
      <w:proofErr w:type="gramStart"/>
      <w:r w:rsidRPr="00882808">
        <w:rPr>
          <w:color w:val="4F81BD" w:themeColor="accent1"/>
        </w:rPr>
        <w:t>on the basis of</w:t>
      </w:r>
      <w:proofErr w:type="gramEnd"/>
      <w:r w:rsidRPr="00882808">
        <w:rPr>
          <w:color w:val="4F81BD" w:themeColor="accent1"/>
        </w:rPr>
        <w:t xml:space="preserve"> the risk analysis or new insights. </w:t>
      </w:r>
    </w:p>
    <w:p w14:paraId="04114203" w14:textId="42D09A48" w:rsidR="00FF5C62" w:rsidRPr="00882808" w:rsidRDefault="00FF5C62" w:rsidP="00E72E48">
      <w:pPr>
        <w:spacing w:after="0"/>
        <w:jc w:val="both"/>
        <w:rPr>
          <w:color w:val="4F81BD" w:themeColor="accent1"/>
        </w:rPr>
      </w:pPr>
      <w:r w:rsidRPr="00882808">
        <w:rPr>
          <w:color w:val="4F81BD" w:themeColor="accent1"/>
        </w:rPr>
        <w:t xml:space="preserve">U.2 describes </w:t>
      </w:r>
      <w:r w:rsidR="00AE40AC" w:rsidRPr="00882808">
        <w:rPr>
          <w:color w:val="4F81BD" w:themeColor="accent1"/>
        </w:rPr>
        <w:t xml:space="preserve">in general </w:t>
      </w:r>
      <w:r w:rsidRPr="00882808">
        <w:rPr>
          <w:color w:val="4F81BD" w:themeColor="accent1"/>
        </w:rPr>
        <w:t>the main differences. Implementation periods apply to existing situations that do not yet comply with these measures. These deadlines are set out in Annex V.</w:t>
      </w:r>
      <w:r w:rsidR="0049399D">
        <w:rPr>
          <w:color w:val="4F81BD" w:themeColor="accent1"/>
        </w:rPr>
        <w:br/>
      </w:r>
      <w:r w:rsidRPr="00882808">
        <w:rPr>
          <w:color w:val="4F81BD" w:themeColor="accent1"/>
        </w:rPr>
        <w:t>Measures that have not changed in terms of content have often been</w:t>
      </w:r>
      <w:r w:rsidR="00B42507" w:rsidRPr="00882808">
        <w:rPr>
          <w:color w:val="4F81BD" w:themeColor="accent1"/>
        </w:rPr>
        <w:t xml:space="preserve"> changed</w:t>
      </w:r>
      <w:r w:rsidR="00915D33" w:rsidRPr="00882808">
        <w:rPr>
          <w:color w:val="4F81BD" w:themeColor="accent1"/>
        </w:rPr>
        <w:t xml:space="preserve"> editorially</w:t>
      </w:r>
      <w:r w:rsidRPr="00882808">
        <w:rPr>
          <w:color w:val="4F81BD" w:themeColor="accent1"/>
        </w:rPr>
        <w:t xml:space="preserve">. This happened because of PGS </w:t>
      </w:r>
      <w:r w:rsidR="008F5204" w:rsidRPr="00882808">
        <w:rPr>
          <w:color w:val="4F81BD" w:themeColor="accent1"/>
        </w:rPr>
        <w:t>“New Style” format</w:t>
      </w:r>
      <w:r w:rsidRPr="00882808">
        <w:rPr>
          <w:color w:val="4F81BD" w:themeColor="accent1"/>
        </w:rPr>
        <w:t>.</w:t>
      </w:r>
    </w:p>
    <w:p w14:paraId="7755BAD0" w14:textId="52E496C2" w:rsidR="007931C4" w:rsidRDefault="00FF5C62" w:rsidP="00E72E48">
      <w:pPr>
        <w:spacing w:after="0"/>
        <w:jc w:val="both"/>
        <w:rPr>
          <w:color w:val="4F81BD" w:themeColor="accent1"/>
        </w:rPr>
      </w:pPr>
      <w:r w:rsidRPr="00882808">
        <w:rPr>
          <w:color w:val="4F81BD" w:themeColor="accent1"/>
        </w:rPr>
        <w:t xml:space="preserve">U.3 lists the measures that </w:t>
      </w:r>
      <w:r w:rsidR="001C5674" w:rsidRPr="00882808">
        <w:rPr>
          <w:color w:val="4F81BD" w:themeColor="accent1"/>
        </w:rPr>
        <w:t>were d</w:t>
      </w:r>
      <w:r w:rsidR="008D4D9E" w:rsidRPr="00882808">
        <w:rPr>
          <w:color w:val="4F81BD" w:themeColor="accent1"/>
        </w:rPr>
        <w:t>eleted</w:t>
      </w:r>
      <w:r w:rsidRPr="00882808">
        <w:rPr>
          <w:color w:val="4F81BD" w:themeColor="accent1"/>
        </w:rPr>
        <w:t>.</w:t>
      </w:r>
    </w:p>
    <w:p w14:paraId="2678740F" w14:textId="77777777" w:rsidR="00E72E48" w:rsidRPr="00882808" w:rsidRDefault="00E72E48" w:rsidP="00E72E48">
      <w:pPr>
        <w:spacing w:after="60"/>
        <w:jc w:val="both"/>
        <w:rPr>
          <w:color w:val="4F81BD" w:themeColor="accent1"/>
        </w:rPr>
      </w:pPr>
    </w:p>
    <w:p w14:paraId="6D6E7B1A" w14:textId="7A9BFAB4" w:rsidR="00E407DE" w:rsidRPr="00882808" w:rsidRDefault="00E407DE" w:rsidP="00583E82">
      <w:pPr>
        <w:spacing w:after="60"/>
        <w:rPr>
          <w:b/>
          <w:bCs/>
          <w:color w:val="4F81BD" w:themeColor="accent1"/>
          <w:sz w:val="24"/>
          <w:szCs w:val="24"/>
        </w:rPr>
      </w:pPr>
      <w:r w:rsidRPr="00882808">
        <w:rPr>
          <w:b/>
          <w:bCs/>
          <w:color w:val="4F81BD" w:themeColor="accent1"/>
          <w:sz w:val="24"/>
          <w:szCs w:val="24"/>
        </w:rPr>
        <w:t xml:space="preserve">U.2 </w:t>
      </w:r>
      <w:r w:rsidRPr="00882808">
        <w:rPr>
          <w:b/>
          <w:bCs/>
          <w:color w:val="4F81BD" w:themeColor="accent1"/>
          <w:sz w:val="24"/>
          <w:szCs w:val="24"/>
        </w:rPr>
        <w:tab/>
      </w:r>
      <w:r w:rsidR="00B57BDB" w:rsidRPr="00882808">
        <w:rPr>
          <w:b/>
          <w:bCs/>
          <w:color w:val="4F81BD" w:themeColor="accent1"/>
          <w:sz w:val="24"/>
          <w:szCs w:val="24"/>
        </w:rPr>
        <w:t>Most important substantive changes</w:t>
      </w:r>
    </w:p>
    <w:p w14:paraId="460FD879" w14:textId="26159BA5" w:rsidR="00B020A0" w:rsidRPr="00882808" w:rsidRDefault="00E407DE" w:rsidP="004875FC">
      <w:pPr>
        <w:spacing w:after="60"/>
        <w:ind w:left="709" w:hanging="709"/>
        <w:rPr>
          <w:i/>
          <w:iCs/>
          <w:color w:val="4F81BD" w:themeColor="accent1"/>
        </w:rPr>
      </w:pPr>
      <w:r w:rsidRPr="00882808">
        <w:rPr>
          <w:i/>
          <w:iCs/>
          <w:color w:val="4F81BD" w:themeColor="accent1"/>
        </w:rPr>
        <w:t xml:space="preserve">U.2.1 </w:t>
      </w:r>
      <w:r w:rsidR="00C6590B" w:rsidRPr="00882808">
        <w:rPr>
          <w:i/>
          <w:iCs/>
          <w:color w:val="4F81BD" w:themeColor="accent1"/>
        </w:rPr>
        <w:tab/>
      </w:r>
      <w:r w:rsidR="00597354" w:rsidRPr="00882808">
        <w:rPr>
          <w:i/>
          <w:iCs/>
          <w:color w:val="4F81BD" w:themeColor="accent1"/>
        </w:rPr>
        <w:t>Reduction of s</w:t>
      </w:r>
      <w:r w:rsidR="00B020A0" w:rsidRPr="00882808">
        <w:rPr>
          <w:i/>
          <w:iCs/>
          <w:color w:val="4F81BD" w:themeColor="accent1"/>
        </w:rPr>
        <w:t>afety distance</w:t>
      </w:r>
      <w:r w:rsidR="00597354" w:rsidRPr="00882808">
        <w:rPr>
          <w:i/>
          <w:iCs/>
          <w:color w:val="4F81BD" w:themeColor="accent1"/>
        </w:rPr>
        <w:t xml:space="preserve"> </w:t>
      </w:r>
      <w:r w:rsidR="00B020A0" w:rsidRPr="00882808">
        <w:rPr>
          <w:i/>
          <w:iCs/>
          <w:color w:val="4F81BD" w:themeColor="accent1"/>
        </w:rPr>
        <w:t>for free-standing storage facilities possible due to fire</w:t>
      </w:r>
      <w:r w:rsidR="004875FC">
        <w:rPr>
          <w:i/>
          <w:iCs/>
          <w:color w:val="4F81BD" w:themeColor="accent1"/>
        </w:rPr>
        <w:t xml:space="preserve"> </w:t>
      </w:r>
      <w:r w:rsidR="00B020A0" w:rsidRPr="00882808">
        <w:rPr>
          <w:i/>
          <w:iCs/>
          <w:color w:val="4F81BD" w:themeColor="accent1"/>
        </w:rPr>
        <w:t>resistance, fire protection installation or a combination of both</w:t>
      </w:r>
      <w:r w:rsidR="00BC1998" w:rsidRPr="00882808">
        <w:rPr>
          <w:i/>
          <w:iCs/>
          <w:color w:val="4F81BD" w:themeColor="accent1"/>
        </w:rPr>
        <w:t xml:space="preserve"> (PGS 8:2011 reference:</w:t>
      </w:r>
      <w:r w:rsidR="00BC1998" w:rsidRPr="00882808">
        <w:rPr>
          <w:rFonts w:cstheme="minorHAnsi"/>
          <w:i/>
          <w:iCs/>
          <w:color w:val="4F81BD" w:themeColor="accent1"/>
        </w:rPr>
        <w:t xml:space="preserve"> §</w:t>
      </w:r>
      <w:r w:rsidR="00BC1998" w:rsidRPr="00882808">
        <w:rPr>
          <w:i/>
          <w:iCs/>
          <w:color w:val="4F81BD" w:themeColor="accent1"/>
        </w:rPr>
        <w:t xml:space="preserve"> 7.4)</w:t>
      </w:r>
      <w:r w:rsidR="00E71E6D" w:rsidRPr="00882808">
        <w:rPr>
          <w:i/>
          <w:iCs/>
          <w:color w:val="4F81BD" w:themeColor="accent1"/>
        </w:rPr>
        <w:t>.</w:t>
      </w:r>
    </w:p>
    <w:p w14:paraId="03EF50F1" w14:textId="4458E1D9" w:rsidR="006B088B" w:rsidRPr="00882808" w:rsidRDefault="006B088B" w:rsidP="004875FC">
      <w:pPr>
        <w:spacing w:after="0"/>
        <w:ind w:left="709"/>
        <w:jc w:val="both"/>
        <w:rPr>
          <w:color w:val="4F81BD" w:themeColor="accent1"/>
        </w:rPr>
      </w:pPr>
      <w:r w:rsidRPr="00882808">
        <w:rPr>
          <w:color w:val="4F81BD" w:themeColor="accent1"/>
        </w:rPr>
        <w:t xml:space="preserve">Safety distances must be maintained when storing organic peroxides. This is to protect objects from the consequences of incidents in the storage of organic peroxides. It concerns distances between storage facilities and </w:t>
      </w:r>
      <w:r w:rsidR="00DB0D38" w:rsidRPr="00882808">
        <w:rPr>
          <w:color w:val="4F81BD" w:themeColor="accent1"/>
        </w:rPr>
        <w:t xml:space="preserve">other </w:t>
      </w:r>
      <w:r w:rsidRPr="00882808">
        <w:rPr>
          <w:color w:val="4F81BD" w:themeColor="accent1"/>
        </w:rPr>
        <w:t>objects</w:t>
      </w:r>
      <w:r w:rsidR="00DB0D38" w:rsidRPr="00882808">
        <w:rPr>
          <w:color w:val="4F81BD" w:themeColor="accent1"/>
        </w:rPr>
        <w:t xml:space="preserve"> within the premises and between storage facilities and the</w:t>
      </w:r>
      <w:r w:rsidRPr="00882808">
        <w:rPr>
          <w:color w:val="4F81BD" w:themeColor="accent1"/>
        </w:rPr>
        <w:t xml:space="preserve"> boundary of the </w:t>
      </w:r>
      <w:r w:rsidR="00000BCC">
        <w:rPr>
          <w:color w:val="4F81BD" w:themeColor="accent1"/>
        </w:rPr>
        <w:t>premises</w:t>
      </w:r>
      <w:r w:rsidRPr="00882808">
        <w:rPr>
          <w:color w:val="4F81BD" w:themeColor="accent1"/>
        </w:rPr>
        <w:t>. The basic principle is that there are no effects outside the company's own premises.</w:t>
      </w:r>
    </w:p>
    <w:p w14:paraId="32C3299A" w14:textId="4E32343D" w:rsidR="00E30175" w:rsidRPr="00882808" w:rsidRDefault="00E30175" w:rsidP="004875FC">
      <w:pPr>
        <w:spacing w:after="0"/>
        <w:ind w:left="709"/>
        <w:jc w:val="both"/>
        <w:rPr>
          <w:color w:val="4F81BD" w:themeColor="accent1"/>
        </w:rPr>
      </w:pPr>
      <w:r w:rsidRPr="00882808">
        <w:rPr>
          <w:color w:val="4F81BD" w:themeColor="accent1"/>
        </w:rPr>
        <w:t xml:space="preserve">It is not always possible to </w:t>
      </w:r>
      <w:r w:rsidR="006F6A95" w:rsidRPr="00882808">
        <w:rPr>
          <w:color w:val="4F81BD" w:themeColor="accent1"/>
        </w:rPr>
        <w:t>realize</w:t>
      </w:r>
      <w:r w:rsidRPr="00882808">
        <w:rPr>
          <w:color w:val="4F81BD" w:themeColor="accent1"/>
        </w:rPr>
        <w:t xml:space="preserve"> these safety distances. </w:t>
      </w:r>
      <w:r w:rsidR="00AF5D87" w:rsidRPr="00882808">
        <w:rPr>
          <w:color w:val="4F81BD" w:themeColor="accent1"/>
        </w:rPr>
        <w:t>That is why it can be deviated from under certain conditions.</w:t>
      </w:r>
      <w:r w:rsidRPr="00882808">
        <w:rPr>
          <w:color w:val="4F81BD" w:themeColor="accent1"/>
        </w:rPr>
        <w:t xml:space="preserve"> These conditions have been adjusted with effect from this PGS. The adjustment means that a fire protection installation, such as a sprinkler or deluge installation, is not always necessary to reduce the safety distances. The safety distances can also be reduced with only sufficient fire resistance.</w:t>
      </w:r>
    </w:p>
    <w:p w14:paraId="0244E9F7" w14:textId="13F4AD35" w:rsidR="009B3BAE" w:rsidRPr="00882808" w:rsidRDefault="009B3BAE" w:rsidP="004875FC">
      <w:pPr>
        <w:spacing w:after="0"/>
        <w:ind w:left="709"/>
        <w:jc w:val="both"/>
        <w:rPr>
          <w:color w:val="4F81BD" w:themeColor="accent1"/>
        </w:rPr>
      </w:pPr>
      <w:r w:rsidRPr="00882808">
        <w:rPr>
          <w:color w:val="4F81BD" w:themeColor="accent1"/>
        </w:rPr>
        <w:t>PGS 8: 2011 stipulates that reducing the safety distances is only allowed if the storage facility:</w:t>
      </w:r>
    </w:p>
    <w:p w14:paraId="631EA712" w14:textId="77777777" w:rsidR="00C64395" w:rsidRPr="00882808" w:rsidRDefault="00C64395" w:rsidP="004875FC">
      <w:pPr>
        <w:pStyle w:val="ListParagraph"/>
        <w:numPr>
          <w:ilvl w:val="0"/>
          <w:numId w:val="1"/>
        </w:numPr>
        <w:spacing w:after="0"/>
        <w:ind w:left="993" w:hanging="284"/>
        <w:jc w:val="both"/>
        <w:rPr>
          <w:color w:val="4F81BD" w:themeColor="accent1"/>
        </w:rPr>
      </w:pPr>
      <w:r w:rsidRPr="00882808">
        <w:rPr>
          <w:color w:val="4F81BD" w:themeColor="accent1"/>
        </w:rPr>
        <w:t>has a fire protection system;</w:t>
      </w:r>
    </w:p>
    <w:p w14:paraId="2E85D4C7" w14:textId="7CFE1190" w:rsidR="00E407DE" w:rsidRPr="00882808" w:rsidRDefault="00C64395" w:rsidP="004875FC">
      <w:pPr>
        <w:pStyle w:val="ListParagraph"/>
        <w:numPr>
          <w:ilvl w:val="0"/>
          <w:numId w:val="1"/>
        </w:numPr>
        <w:spacing w:after="0"/>
        <w:ind w:left="993" w:hanging="284"/>
        <w:jc w:val="both"/>
        <w:rPr>
          <w:color w:val="4F81BD" w:themeColor="accent1"/>
        </w:rPr>
      </w:pPr>
      <w:r w:rsidRPr="00882808">
        <w:rPr>
          <w:color w:val="4F81BD" w:themeColor="accent1"/>
        </w:rPr>
        <w:t>has extra fire resistance if this is necessary for further reduction of the safety distances;</w:t>
      </w:r>
    </w:p>
    <w:p w14:paraId="18DB415F" w14:textId="4D34A8D4" w:rsidR="00E407DE" w:rsidRPr="00882808" w:rsidRDefault="007931C4" w:rsidP="004875FC">
      <w:pPr>
        <w:pStyle w:val="ListParagraph"/>
        <w:numPr>
          <w:ilvl w:val="0"/>
          <w:numId w:val="1"/>
        </w:numPr>
        <w:spacing w:after="0"/>
        <w:ind w:left="993" w:hanging="284"/>
        <w:jc w:val="both"/>
        <w:rPr>
          <w:color w:val="4F81BD" w:themeColor="accent1"/>
        </w:rPr>
      </w:pPr>
      <w:r w:rsidRPr="00882808">
        <w:rPr>
          <w:color w:val="4F81BD" w:themeColor="accent1"/>
        </w:rPr>
        <w:t>w</w:t>
      </w:r>
      <w:r w:rsidR="00C64395" w:rsidRPr="00882808">
        <w:rPr>
          <w:color w:val="4F81BD" w:themeColor="accent1"/>
        </w:rPr>
        <w:t>ithstand static internal overpressure in excess of the emergency pressure relief opening pressure.</w:t>
      </w:r>
    </w:p>
    <w:p w14:paraId="4060DB27" w14:textId="499F041E" w:rsidR="00A274BD" w:rsidRPr="00882808" w:rsidRDefault="00512EC0" w:rsidP="004875FC">
      <w:pPr>
        <w:spacing w:after="0"/>
        <w:ind w:left="709"/>
        <w:jc w:val="both"/>
        <w:rPr>
          <w:color w:val="4F81BD" w:themeColor="accent1"/>
        </w:rPr>
      </w:pPr>
      <w:r w:rsidRPr="00882808">
        <w:rPr>
          <w:color w:val="4F81BD" w:themeColor="accent1"/>
        </w:rPr>
        <w:t>When PGS 8: 2020 was</w:t>
      </w:r>
      <w:r w:rsidR="005F5E70" w:rsidRPr="00882808">
        <w:rPr>
          <w:color w:val="4F81BD" w:themeColor="accent1"/>
        </w:rPr>
        <w:t xml:space="preserve"> drafted</w:t>
      </w:r>
      <w:r w:rsidRPr="00882808">
        <w:rPr>
          <w:color w:val="4F81BD" w:themeColor="accent1"/>
        </w:rPr>
        <w:t xml:space="preserve">, it was determined </w:t>
      </w:r>
      <w:proofErr w:type="gramStart"/>
      <w:r w:rsidRPr="00882808">
        <w:rPr>
          <w:color w:val="4F81BD" w:themeColor="accent1"/>
        </w:rPr>
        <w:t>on the basis of</w:t>
      </w:r>
      <w:proofErr w:type="gramEnd"/>
      <w:r w:rsidRPr="00882808">
        <w:rPr>
          <w:color w:val="4F81BD" w:themeColor="accent1"/>
        </w:rPr>
        <w:t xml:space="preserve"> the risk </w:t>
      </w:r>
      <w:r w:rsidR="00422A2C" w:rsidRPr="00882808">
        <w:rPr>
          <w:color w:val="4F81BD" w:themeColor="accent1"/>
        </w:rPr>
        <w:t>assessment</w:t>
      </w:r>
      <w:r w:rsidRPr="00882808">
        <w:rPr>
          <w:color w:val="4F81BD" w:themeColor="accent1"/>
        </w:rPr>
        <w:t xml:space="preserve"> that this reduction can also be obtained by </w:t>
      </w:r>
      <w:r w:rsidR="00B8015A">
        <w:rPr>
          <w:color w:val="4F81BD" w:themeColor="accent1"/>
        </w:rPr>
        <w:t>on</w:t>
      </w:r>
      <w:r w:rsidRPr="00882808">
        <w:rPr>
          <w:color w:val="4F81BD" w:themeColor="accent1"/>
        </w:rPr>
        <w:t xml:space="preserve">ly adding extra fire resistance (i.e. without a sprinkler system). The basic principle is that a storage facility should be constructed in such a way that a fire in the storage facility is always limited to the relevant storage facility. </w:t>
      </w:r>
      <w:r w:rsidR="00A274BD" w:rsidRPr="00882808">
        <w:rPr>
          <w:color w:val="4F81BD" w:themeColor="accent1"/>
        </w:rPr>
        <w:t>Due to the rapid progress of a fire with organic peroxides, this can be achieved by sufficient fire resistance. The requirements for emergency pressure relief are included in the measures of</w:t>
      </w:r>
      <w:r w:rsidR="00F04104" w:rsidRPr="00882808">
        <w:rPr>
          <w:color w:val="4F81BD" w:themeColor="accent1"/>
        </w:rPr>
        <w:t xml:space="preserve"> 7.3.8</w:t>
      </w:r>
      <w:r w:rsidR="00B8015A">
        <w:rPr>
          <w:color w:val="4F81BD" w:themeColor="accent1"/>
        </w:rPr>
        <w:t xml:space="preserve"> </w:t>
      </w:r>
      <w:r w:rsidR="00A966D0" w:rsidRPr="00882808">
        <w:rPr>
          <w:color w:val="4F81BD" w:themeColor="accent1"/>
          <w:vertAlign w:val="superscript"/>
        </w:rPr>
        <w:t>1)</w:t>
      </w:r>
      <w:r w:rsidR="00F04104" w:rsidRPr="00882808">
        <w:rPr>
          <w:color w:val="4F81BD" w:themeColor="accent1"/>
        </w:rPr>
        <w:t xml:space="preserve">. </w:t>
      </w:r>
    </w:p>
    <w:p w14:paraId="11ED7519" w14:textId="746DBDE6" w:rsidR="00AA15B8" w:rsidRDefault="00512EC0" w:rsidP="004875FC">
      <w:pPr>
        <w:spacing w:after="0"/>
        <w:ind w:left="709"/>
        <w:jc w:val="both"/>
        <w:rPr>
          <w:color w:val="4F81BD" w:themeColor="accent1"/>
        </w:rPr>
      </w:pPr>
      <w:r w:rsidRPr="00882808">
        <w:rPr>
          <w:color w:val="4F81BD" w:themeColor="accent1"/>
        </w:rPr>
        <w:t>In Germany, the rules for storing organic peroxides follow the same system. These are described in BG-Regulation B4 (1 January 2011)</w:t>
      </w:r>
      <w:r w:rsidR="00B8015A">
        <w:rPr>
          <w:color w:val="4F81BD" w:themeColor="accent1"/>
        </w:rPr>
        <w:t xml:space="preserve"> </w:t>
      </w:r>
      <w:r w:rsidR="00E452B0" w:rsidRPr="00882808">
        <w:rPr>
          <w:color w:val="4F81BD" w:themeColor="accent1"/>
          <w:vertAlign w:val="superscript"/>
        </w:rPr>
        <w:t>2)</w:t>
      </w:r>
      <w:r w:rsidR="00D459E9" w:rsidRPr="00882808">
        <w:rPr>
          <w:color w:val="4F81BD" w:themeColor="accent1"/>
        </w:rPr>
        <w:t>.</w:t>
      </w:r>
    </w:p>
    <w:p w14:paraId="39D2B4E2" w14:textId="3165A42D" w:rsidR="00583E82" w:rsidRDefault="00141DF1" w:rsidP="00141DF1">
      <w:pPr>
        <w:spacing w:after="0"/>
        <w:ind w:left="709"/>
        <w:jc w:val="both"/>
        <w:rPr>
          <w:color w:val="4F81BD" w:themeColor="accent1"/>
        </w:rPr>
      </w:pPr>
      <w:r w:rsidRPr="00882808">
        <w:rPr>
          <w:color w:val="4F81BD" w:themeColor="accent1"/>
        </w:rPr>
        <w:t xml:space="preserve">An important additional argument for opting for fire resistance instead of or in combination with a fire protection installation is the fact that a fire with organic peroxides is difficult to extinguish. The maximum effect of a fire protection installation is that the substances are </w:t>
      </w:r>
      <w:r w:rsidR="00CA7FD6" w:rsidRPr="00882808">
        <w:rPr>
          <w:color w:val="4F81BD" w:themeColor="accent1"/>
        </w:rPr>
        <w:t>cooled,</w:t>
      </w:r>
      <w:r w:rsidRPr="00882808">
        <w:rPr>
          <w:color w:val="4F81BD" w:themeColor="accent1"/>
        </w:rPr>
        <w:t xml:space="preserve"> and that the decomposition is delayed as a result. The possibility that a fire protection</w:t>
      </w:r>
    </w:p>
    <w:p w14:paraId="72436154" w14:textId="77777777" w:rsidR="00583E82" w:rsidRDefault="00583E82" w:rsidP="00583E82">
      <w:pPr>
        <w:spacing w:after="0"/>
        <w:jc w:val="both"/>
        <w:rPr>
          <w:color w:val="4F81BD" w:themeColor="accent1"/>
        </w:rPr>
      </w:pPr>
    </w:p>
    <w:p w14:paraId="1FA759FF" w14:textId="52542042" w:rsidR="00583E82" w:rsidRDefault="002478B7" w:rsidP="00583E82">
      <w:pPr>
        <w:spacing w:after="0"/>
        <w:jc w:val="both"/>
        <w:rPr>
          <w:color w:val="4F81BD" w:themeColor="accent1"/>
        </w:rPr>
      </w:pPr>
      <w:r>
        <w:rPr>
          <w:noProof/>
          <w:color w:val="4F81BD" w:themeColor="accent1"/>
        </w:rPr>
        <mc:AlternateContent>
          <mc:Choice Requires="wps">
            <w:drawing>
              <wp:anchor distT="0" distB="0" distL="114300" distR="114300" simplePos="0" relativeHeight="251661312" behindDoc="0" locked="0" layoutInCell="1" allowOverlap="1" wp14:anchorId="57D28A45" wp14:editId="419E5107">
                <wp:simplePos x="0" y="0"/>
                <wp:positionH relativeFrom="column">
                  <wp:posOffset>0</wp:posOffset>
                </wp:positionH>
                <wp:positionV relativeFrom="paragraph">
                  <wp:posOffset>151130</wp:posOffset>
                </wp:positionV>
                <wp:extent cx="1021080" cy="0"/>
                <wp:effectExtent l="0" t="0" r="0" b="0"/>
                <wp:wrapSquare wrapText="bothSides"/>
                <wp:docPr id="3" name="Straight Connector 3"/>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0E04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9pt" to="80.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" strokecolor="#4579b8 [3044]">
                <w10:wrap type="square"/>
              </v:line>
            </w:pict>
          </mc:Fallback>
        </mc:AlternateContent>
      </w:r>
    </w:p>
    <w:p w14:paraId="65FA1AE3" w14:textId="606D0B37" w:rsidR="00512EC0" w:rsidRPr="00882808" w:rsidRDefault="00AA15B8" w:rsidP="007532E2">
      <w:pPr>
        <w:spacing w:after="0"/>
        <w:rPr>
          <w:color w:val="4F81BD" w:themeColor="accent1"/>
        </w:rPr>
      </w:pPr>
      <w:r w:rsidRPr="00403942">
        <w:rPr>
          <w:i/>
          <w:iCs/>
          <w:color w:val="4F81BD" w:themeColor="accent1"/>
          <w:vertAlign w:val="superscript"/>
        </w:rPr>
        <w:t>1)</w:t>
      </w:r>
      <w:r>
        <w:rPr>
          <w:i/>
          <w:iCs/>
          <w:color w:val="4F81BD" w:themeColor="accent1"/>
        </w:rPr>
        <w:t xml:space="preserve"> </w:t>
      </w:r>
      <w:r w:rsidRPr="00403942">
        <w:rPr>
          <w:i/>
          <w:iCs/>
          <w:color w:val="4F81BD" w:themeColor="accent1"/>
        </w:rPr>
        <w:t>These measures have not changed in the new version of the PGS 8.</w:t>
      </w:r>
      <w:r w:rsidRPr="00403942">
        <w:rPr>
          <w:i/>
          <w:iCs/>
          <w:color w:val="4F81BD" w:themeColor="accent1"/>
        </w:rPr>
        <w:br/>
      </w:r>
      <w:r w:rsidRPr="00403942">
        <w:rPr>
          <w:color w:val="4F81BD" w:themeColor="accent1"/>
          <w:vertAlign w:val="superscript"/>
        </w:rPr>
        <w:t>2)</w:t>
      </w:r>
      <w:r w:rsidRPr="00403942">
        <w:rPr>
          <w:color w:val="4F81BD" w:themeColor="accent1"/>
        </w:rPr>
        <w:t xml:space="preserve"> </w:t>
      </w:r>
      <w:r w:rsidRPr="00403942">
        <w:rPr>
          <w:i/>
          <w:iCs/>
          <w:color w:val="4F81BD" w:themeColor="accent1"/>
        </w:rPr>
        <w:t xml:space="preserve">Current version DGUV </w:t>
      </w:r>
      <w:proofErr w:type="spellStart"/>
      <w:r w:rsidRPr="00403942">
        <w:rPr>
          <w:i/>
          <w:iCs/>
          <w:color w:val="4F81BD" w:themeColor="accent1"/>
        </w:rPr>
        <w:t>Vorschrift</w:t>
      </w:r>
      <w:proofErr w:type="spellEnd"/>
      <w:r w:rsidRPr="00403942">
        <w:rPr>
          <w:i/>
          <w:iCs/>
          <w:color w:val="4F81BD" w:themeColor="accent1"/>
        </w:rPr>
        <w:t xml:space="preserve"> 13.</w:t>
      </w:r>
    </w:p>
    <w:p w14:paraId="2EBA73D7" w14:textId="73FA9105" w:rsidR="00DF3EC8" w:rsidRDefault="00DF3EC8" w:rsidP="004875FC">
      <w:pPr>
        <w:spacing w:after="0"/>
        <w:ind w:left="709"/>
        <w:jc w:val="both"/>
        <w:rPr>
          <w:color w:val="4F81BD" w:themeColor="accent1"/>
        </w:rPr>
      </w:pPr>
      <w:r w:rsidRPr="00882808">
        <w:rPr>
          <w:color w:val="4F81BD" w:themeColor="accent1"/>
        </w:rPr>
        <w:lastRenderedPageBreak/>
        <w:t>installation extinguishes the fire completely and stops decomposition is considered small. In addition, a consequence of the use of a fire protection installation is that extensive extinguishing water collection is required. The same applies to a</w:t>
      </w:r>
      <w:r w:rsidR="00B1070D" w:rsidRPr="00882808">
        <w:rPr>
          <w:color w:val="4F81BD" w:themeColor="accent1"/>
        </w:rPr>
        <w:t xml:space="preserve"> firefighting action</w:t>
      </w:r>
      <w:r w:rsidRPr="00882808">
        <w:rPr>
          <w:color w:val="4F81BD" w:themeColor="accent1"/>
        </w:rPr>
        <w:t xml:space="preserve"> by the fire brigade. In certain cases, a burnout scenario will be preferred</w:t>
      </w:r>
      <w:r w:rsidR="00D3530D" w:rsidRPr="00882808">
        <w:rPr>
          <w:color w:val="4F81BD" w:themeColor="accent1"/>
        </w:rPr>
        <w:t>.</w:t>
      </w:r>
    </w:p>
    <w:p w14:paraId="0CA6FC7C" w14:textId="77777777" w:rsidR="00583E82" w:rsidRPr="00882808" w:rsidRDefault="00583E82" w:rsidP="00583E82">
      <w:pPr>
        <w:spacing w:after="0"/>
        <w:jc w:val="both"/>
        <w:rPr>
          <w:color w:val="4F81BD" w:themeColor="accent1"/>
        </w:rPr>
      </w:pPr>
    </w:p>
    <w:p w14:paraId="4D1550CF" w14:textId="745BC6C4" w:rsidR="00E407DE" w:rsidRPr="00882808" w:rsidRDefault="00E407DE" w:rsidP="00583E82">
      <w:pPr>
        <w:spacing w:after="60"/>
        <w:rPr>
          <w:i/>
          <w:iCs/>
          <w:color w:val="4F81BD" w:themeColor="accent1"/>
        </w:rPr>
      </w:pPr>
      <w:r w:rsidRPr="00882808">
        <w:rPr>
          <w:i/>
          <w:iCs/>
          <w:color w:val="4F81BD" w:themeColor="accent1"/>
        </w:rPr>
        <w:t xml:space="preserve">U.2.2 </w:t>
      </w:r>
      <w:r w:rsidRPr="00882808">
        <w:rPr>
          <w:i/>
          <w:iCs/>
          <w:color w:val="4F81BD" w:themeColor="accent1"/>
        </w:rPr>
        <w:tab/>
      </w:r>
      <w:r w:rsidR="002C73B0" w:rsidRPr="00882808">
        <w:rPr>
          <w:i/>
          <w:iCs/>
          <w:color w:val="4F81BD" w:themeColor="accent1"/>
        </w:rPr>
        <w:t>Storage facility - Requirements for</w:t>
      </w:r>
      <w:r w:rsidR="009D37BF" w:rsidRPr="00882808">
        <w:rPr>
          <w:i/>
          <w:iCs/>
          <w:color w:val="4F81BD" w:themeColor="accent1"/>
        </w:rPr>
        <w:t xml:space="preserve"> s</w:t>
      </w:r>
      <w:r w:rsidR="002C73B0" w:rsidRPr="00882808">
        <w:rPr>
          <w:i/>
          <w:iCs/>
          <w:color w:val="4F81BD" w:themeColor="accent1"/>
        </w:rPr>
        <w:t>trict</w:t>
      </w:r>
      <w:r w:rsidR="009D37BF" w:rsidRPr="00882808">
        <w:rPr>
          <w:i/>
          <w:iCs/>
          <w:color w:val="4F81BD" w:themeColor="accent1"/>
        </w:rPr>
        <w:t>est</w:t>
      </w:r>
      <w:r w:rsidR="002C73B0" w:rsidRPr="00882808">
        <w:rPr>
          <w:i/>
          <w:iCs/>
          <w:color w:val="4F81BD" w:themeColor="accent1"/>
        </w:rPr>
        <w:t xml:space="preserve"> storage group</w:t>
      </w:r>
      <w:r w:rsidR="00DB0D38" w:rsidRPr="00882808">
        <w:rPr>
          <w:i/>
          <w:iCs/>
          <w:color w:val="4F81BD" w:themeColor="accent1"/>
        </w:rPr>
        <w:t xml:space="preserve"> (</w:t>
      </w:r>
      <w:r w:rsidR="00A966D0" w:rsidRPr="00882808">
        <w:rPr>
          <w:i/>
          <w:iCs/>
          <w:color w:val="4F81BD" w:themeColor="accent1"/>
        </w:rPr>
        <w:t xml:space="preserve">PGS 8:2011 reference: </w:t>
      </w:r>
      <w:r w:rsidR="00A966D0" w:rsidRPr="00882808">
        <w:rPr>
          <w:rFonts w:cstheme="minorHAnsi"/>
          <w:i/>
          <w:iCs/>
          <w:color w:val="4F81BD" w:themeColor="accent1"/>
        </w:rPr>
        <w:t>§</w:t>
      </w:r>
      <w:r w:rsidR="00A966D0" w:rsidRPr="00882808">
        <w:rPr>
          <w:i/>
          <w:iCs/>
          <w:color w:val="4F81BD" w:themeColor="accent1"/>
        </w:rPr>
        <w:t xml:space="preserve"> 7.4</w:t>
      </w:r>
      <w:r w:rsidR="00DB0D38" w:rsidRPr="00882808">
        <w:rPr>
          <w:i/>
          <w:iCs/>
          <w:color w:val="4F81BD" w:themeColor="accent1"/>
        </w:rPr>
        <w:t>)</w:t>
      </w:r>
    </w:p>
    <w:p w14:paraId="6905F6F3" w14:textId="4A3DBCF7" w:rsidR="0073792E" w:rsidRPr="00882808" w:rsidRDefault="00A966D0" w:rsidP="004875FC">
      <w:pPr>
        <w:spacing w:after="0"/>
        <w:ind w:left="709"/>
        <w:jc w:val="both"/>
        <w:rPr>
          <w:color w:val="4F81BD" w:themeColor="accent1"/>
        </w:rPr>
      </w:pPr>
      <w:r w:rsidRPr="00882808">
        <w:rPr>
          <w:color w:val="4F81BD" w:themeColor="accent1"/>
        </w:rPr>
        <w:t xml:space="preserve">M3 (Storage facility – Requirements strictest storage group) </w:t>
      </w:r>
      <w:r w:rsidR="0073792E" w:rsidRPr="00882808">
        <w:rPr>
          <w:color w:val="4F81BD" w:themeColor="accent1"/>
        </w:rPr>
        <w:t>indicate</w:t>
      </w:r>
      <w:r w:rsidRPr="00882808">
        <w:rPr>
          <w:color w:val="4F81BD" w:themeColor="accent1"/>
        </w:rPr>
        <w:t>s</w:t>
      </w:r>
      <w:r w:rsidR="0073792E" w:rsidRPr="00882808">
        <w:rPr>
          <w:color w:val="4F81BD" w:themeColor="accent1"/>
        </w:rPr>
        <w:t xml:space="preserve"> that the measures </w:t>
      </w:r>
      <w:proofErr w:type="gramStart"/>
      <w:r w:rsidR="0073792E" w:rsidRPr="00882808">
        <w:rPr>
          <w:color w:val="4F81BD" w:themeColor="accent1"/>
        </w:rPr>
        <w:t>with regard to</w:t>
      </w:r>
      <w:proofErr w:type="gramEnd"/>
      <w:r w:rsidR="0073792E" w:rsidRPr="00882808">
        <w:rPr>
          <w:color w:val="4F81BD" w:themeColor="accent1"/>
        </w:rPr>
        <w:t xml:space="preserve"> safety distances and the automatic extinguishing system for the strictest storage group apply to the entire storage. In PGS 8:2011 this only applies to the measures regarding safety distances (see</w:t>
      </w:r>
      <w:r w:rsidR="00DB0D38" w:rsidRPr="00882808">
        <w:rPr>
          <w:color w:val="4F81BD" w:themeColor="accent1"/>
        </w:rPr>
        <w:t xml:space="preserve"> </w:t>
      </w:r>
      <w:r w:rsidR="0073792E" w:rsidRPr="00882808">
        <w:rPr>
          <w:color w:val="4F81BD" w:themeColor="accent1"/>
        </w:rPr>
        <w:t>PGS 8: 2011</w:t>
      </w:r>
      <w:r w:rsidR="0029086B" w:rsidRPr="00882808">
        <w:rPr>
          <w:color w:val="4F81BD" w:themeColor="accent1"/>
        </w:rPr>
        <w:t xml:space="preserve">, </w:t>
      </w:r>
      <w:r w:rsidR="006A2295" w:rsidRPr="00882808">
        <w:rPr>
          <w:rFonts w:cstheme="minorHAnsi"/>
          <w:color w:val="4F81BD" w:themeColor="accent1"/>
        </w:rPr>
        <w:t>§</w:t>
      </w:r>
      <w:r w:rsidR="006A2295" w:rsidRPr="00882808">
        <w:rPr>
          <w:rFonts w:cstheme="minorHAnsi"/>
          <w:i/>
          <w:iCs/>
          <w:color w:val="4F81BD" w:themeColor="accent1"/>
        </w:rPr>
        <w:t xml:space="preserve"> </w:t>
      </w:r>
      <w:r w:rsidR="0029086B" w:rsidRPr="00882808">
        <w:rPr>
          <w:color w:val="4F81BD" w:themeColor="accent1"/>
        </w:rPr>
        <w:t>7.4</w:t>
      </w:r>
      <w:r w:rsidR="0073792E" w:rsidRPr="00882808">
        <w:rPr>
          <w:color w:val="4F81BD" w:themeColor="accent1"/>
        </w:rPr>
        <w:t>).</w:t>
      </w:r>
    </w:p>
    <w:p w14:paraId="25ABAECD" w14:textId="7306DB24" w:rsidR="0073792E" w:rsidRDefault="0073792E" w:rsidP="004875FC">
      <w:pPr>
        <w:spacing w:after="0"/>
        <w:ind w:left="709"/>
        <w:jc w:val="both"/>
        <w:rPr>
          <w:color w:val="4F81BD" w:themeColor="accent1"/>
        </w:rPr>
      </w:pPr>
      <w:r w:rsidRPr="00882808">
        <w:rPr>
          <w:color w:val="4F81BD" w:themeColor="accent1"/>
        </w:rPr>
        <w:t xml:space="preserve">For existing storage facilities with organic peroxides </w:t>
      </w:r>
      <w:r w:rsidR="00253A3A" w:rsidRPr="00882808">
        <w:rPr>
          <w:color w:val="4F81BD" w:themeColor="accent1"/>
        </w:rPr>
        <w:t>with</w:t>
      </w:r>
      <w:r w:rsidRPr="00882808">
        <w:rPr>
          <w:color w:val="4F81BD" w:themeColor="accent1"/>
        </w:rPr>
        <w:t xml:space="preserve"> different storage groups, this can be a tightening of the requirements for the automatic extinguishing system. An implementation period has therefore been included in Appendix V for this measure</w:t>
      </w:r>
      <w:r w:rsidR="00B8015A">
        <w:rPr>
          <w:color w:val="4F81BD" w:themeColor="accent1"/>
        </w:rPr>
        <w:t xml:space="preserve"> </w:t>
      </w:r>
      <w:r w:rsidR="00B8015A">
        <w:rPr>
          <w:color w:val="4F81BD" w:themeColor="accent1"/>
          <w:vertAlign w:val="superscript"/>
        </w:rPr>
        <w:t>3)</w:t>
      </w:r>
      <w:r w:rsidRPr="00882808">
        <w:rPr>
          <w:color w:val="4F81BD" w:themeColor="accent1"/>
        </w:rPr>
        <w:t>.</w:t>
      </w:r>
    </w:p>
    <w:p w14:paraId="2DE1B497" w14:textId="77777777" w:rsidR="0015695A" w:rsidRPr="00882808" w:rsidRDefault="0015695A" w:rsidP="0015695A">
      <w:pPr>
        <w:spacing w:after="0"/>
        <w:jc w:val="both"/>
        <w:rPr>
          <w:color w:val="4F81BD" w:themeColor="accent1"/>
        </w:rPr>
      </w:pPr>
    </w:p>
    <w:p w14:paraId="23B01869" w14:textId="093CF906" w:rsidR="00B72557" w:rsidRPr="00882808" w:rsidRDefault="00B72557" w:rsidP="004875FC">
      <w:pPr>
        <w:spacing w:after="60"/>
        <w:ind w:left="709" w:hanging="709"/>
        <w:rPr>
          <w:i/>
          <w:iCs/>
          <w:color w:val="4F81BD" w:themeColor="accent1"/>
        </w:rPr>
      </w:pPr>
      <w:r w:rsidRPr="00882808">
        <w:rPr>
          <w:i/>
          <w:iCs/>
          <w:color w:val="4F81BD" w:themeColor="accent1"/>
        </w:rPr>
        <w:t xml:space="preserve">U.2.3 </w:t>
      </w:r>
      <w:r w:rsidR="00663F8E" w:rsidRPr="00882808">
        <w:rPr>
          <w:i/>
          <w:iCs/>
          <w:color w:val="4F81BD" w:themeColor="accent1"/>
        </w:rPr>
        <w:tab/>
      </w:r>
      <w:r w:rsidRPr="00882808">
        <w:rPr>
          <w:i/>
          <w:iCs/>
          <w:color w:val="4F81BD" w:themeColor="accent1"/>
        </w:rPr>
        <w:t>Some storage situations may no longer only be adjacent to the outside wall</w:t>
      </w:r>
      <w:r w:rsidR="00AC66C2" w:rsidRPr="00882808">
        <w:rPr>
          <w:i/>
          <w:iCs/>
          <w:color w:val="4F81BD" w:themeColor="accent1"/>
        </w:rPr>
        <w:t xml:space="preserve"> (PGS 8:2011</w:t>
      </w:r>
      <w:r w:rsidR="004875FC">
        <w:rPr>
          <w:i/>
          <w:iCs/>
          <w:color w:val="4F81BD" w:themeColor="accent1"/>
        </w:rPr>
        <w:t xml:space="preserve"> </w:t>
      </w:r>
      <w:r w:rsidR="00AC66C2" w:rsidRPr="00882808">
        <w:rPr>
          <w:i/>
          <w:iCs/>
          <w:color w:val="4F81BD" w:themeColor="accent1"/>
        </w:rPr>
        <w:t xml:space="preserve">reference: </w:t>
      </w:r>
      <w:r w:rsidR="002A7013" w:rsidRPr="00882808">
        <w:rPr>
          <w:i/>
          <w:iCs/>
          <w:color w:val="4F81BD" w:themeColor="accent1"/>
        </w:rPr>
        <w:t>reg 5.5.1 and reg 5.6.1)</w:t>
      </w:r>
    </w:p>
    <w:p w14:paraId="35A53B54" w14:textId="7F1AB11D" w:rsidR="00B72557" w:rsidRPr="00882808" w:rsidRDefault="00B72557" w:rsidP="004875FC">
      <w:pPr>
        <w:spacing w:after="0"/>
        <w:ind w:left="709"/>
        <w:jc w:val="both"/>
        <w:rPr>
          <w:color w:val="4F81BD" w:themeColor="accent1"/>
        </w:rPr>
      </w:pPr>
      <w:r w:rsidRPr="00882808">
        <w:rPr>
          <w:color w:val="4F81BD" w:themeColor="accent1"/>
        </w:rPr>
        <w:t xml:space="preserve">M5 (Storage facility - Construction) indicates which type of storage facility is suitable for storing organic peroxides. There is a distinction according to storage group and quantity. For </w:t>
      </w:r>
      <w:r w:rsidR="00AC66C2" w:rsidRPr="00882808">
        <w:rPr>
          <w:color w:val="4F81BD" w:themeColor="accent1"/>
        </w:rPr>
        <w:t xml:space="preserve">storages containing more than 30 kg and less than 150 kg </w:t>
      </w:r>
      <w:r w:rsidRPr="00882808">
        <w:rPr>
          <w:color w:val="4F81BD" w:themeColor="accent1"/>
        </w:rPr>
        <w:t>of organic peroxides of storage group 1 and for</w:t>
      </w:r>
      <w:r w:rsidR="00AC66C2" w:rsidRPr="00882808">
        <w:rPr>
          <w:color w:val="4F81BD" w:themeColor="accent1"/>
        </w:rPr>
        <w:t xml:space="preserve"> storages containing more than 150 kg and less than 1</w:t>
      </w:r>
      <w:r w:rsidR="0057117A">
        <w:rPr>
          <w:color w:val="4F81BD" w:themeColor="accent1"/>
        </w:rPr>
        <w:t xml:space="preserve"> </w:t>
      </w:r>
      <w:r w:rsidR="00AC66C2" w:rsidRPr="00882808">
        <w:rPr>
          <w:color w:val="4F81BD" w:themeColor="accent1"/>
        </w:rPr>
        <w:t>000 kg</w:t>
      </w:r>
      <w:r w:rsidRPr="00882808">
        <w:rPr>
          <w:color w:val="4F81BD" w:themeColor="accent1"/>
        </w:rPr>
        <w:t xml:space="preserve"> of storage group 2, 3 and 4, organic peroxides may only be stored as follows:</w:t>
      </w:r>
    </w:p>
    <w:p w14:paraId="2424CEB2" w14:textId="5D0B7107"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in a free-standing storage facility;</w:t>
      </w:r>
    </w:p>
    <w:p w14:paraId="5DB602B3" w14:textId="258D9368"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in a storage facility in a building if the storage is adjacent to a roof;</w:t>
      </w:r>
    </w:p>
    <w:p w14:paraId="15136560" w14:textId="18645FA5" w:rsidR="000D182C" w:rsidRPr="00882808" w:rsidRDefault="000D182C" w:rsidP="004875FC">
      <w:pPr>
        <w:pStyle w:val="ListParagraph"/>
        <w:numPr>
          <w:ilvl w:val="0"/>
          <w:numId w:val="3"/>
        </w:numPr>
        <w:spacing w:after="0"/>
        <w:ind w:left="993" w:hanging="284"/>
        <w:jc w:val="both"/>
        <w:rPr>
          <w:color w:val="4F81BD" w:themeColor="accent1"/>
        </w:rPr>
      </w:pPr>
      <w:r w:rsidRPr="00882808">
        <w:rPr>
          <w:color w:val="4F81BD" w:themeColor="accent1"/>
        </w:rPr>
        <w:t>against a building.</w:t>
      </w:r>
    </w:p>
    <w:p w14:paraId="59B7E28D" w14:textId="7C7A3EB8" w:rsidR="00B72557" w:rsidRPr="00882808" w:rsidRDefault="00B72557" w:rsidP="004875FC">
      <w:pPr>
        <w:spacing w:after="0"/>
        <w:ind w:left="709"/>
        <w:jc w:val="both"/>
        <w:rPr>
          <w:color w:val="4F81BD" w:themeColor="accent1"/>
        </w:rPr>
      </w:pPr>
      <w:r w:rsidRPr="00882808">
        <w:rPr>
          <w:color w:val="4F81BD" w:themeColor="accent1"/>
        </w:rPr>
        <w:t xml:space="preserve">According to PGS 8:2011, a storage facility for these situations may also </w:t>
      </w:r>
      <w:proofErr w:type="gramStart"/>
      <w:r w:rsidRPr="00882808">
        <w:rPr>
          <w:color w:val="4F81BD" w:themeColor="accent1"/>
        </w:rPr>
        <w:t>be located in</w:t>
      </w:r>
      <w:proofErr w:type="gramEnd"/>
      <w:r w:rsidRPr="00882808">
        <w:rPr>
          <w:color w:val="4F81BD" w:themeColor="accent1"/>
        </w:rPr>
        <w:t xml:space="preserve"> a building and only adjacent to an outer wall.</w:t>
      </w:r>
    </w:p>
    <w:p w14:paraId="3BA54F06" w14:textId="3CC73E6F" w:rsidR="00B72557" w:rsidRPr="00882808" w:rsidRDefault="00B72557" w:rsidP="004875FC">
      <w:pPr>
        <w:spacing w:after="0"/>
        <w:ind w:left="709"/>
        <w:jc w:val="both"/>
        <w:rPr>
          <w:color w:val="4F81BD" w:themeColor="accent1"/>
        </w:rPr>
      </w:pPr>
      <w:r w:rsidRPr="00882808">
        <w:rPr>
          <w:color w:val="4F81BD" w:themeColor="accent1"/>
        </w:rPr>
        <w:t>For existing storage facilities, this may mean that relocation of the storage facility is necessary, or that the stored quantities should be re</w:t>
      </w:r>
      <w:r w:rsidR="00325F3F" w:rsidRPr="00882808">
        <w:rPr>
          <w:color w:val="4F81BD" w:themeColor="accent1"/>
        </w:rPr>
        <w:t>duced</w:t>
      </w:r>
      <w:r w:rsidRPr="00882808">
        <w:rPr>
          <w:color w:val="4F81BD" w:themeColor="accent1"/>
        </w:rPr>
        <w:t>. An implementation period has therefore been included in Appendix V for this measure</w:t>
      </w:r>
      <w:r w:rsidR="00F63094">
        <w:rPr>
          <w:color w:val="4F81BD" w:themeColor="accent1"/>
        </w:rPr>
        <w:t xml:space="preserve"> </w:t>
      </w:r>
      <w:r w:rsidR="00F63094">
        <w:rPr>
          <w:color w:val="4F81BD" w:themeColor="accent1"/>
          <w:vertAlign w:val="superscript"/>
        </w:rPr>
        <w:t>3)</w:t>
      </w:r>
      <w:r w:rsidR="007E1852" w:rsidRPr="00882808">
        <w:rPr>
          <w:color w:val="4F81BD" w:themeColor="accent1"/>
        </w:rPr>
        <w:t>.</w:t>
      </w:r>
    </w:p>
    <w:p w14:paraId="78B64841" w14:textId="77777777" w:rsidR="009670E3" w:rsidRPr="00882808" w:rsidRDefault="009670E3" w:rsidP="004875FC">
      <w:pPr>
        <w:spacing w:after="0"/>
        <w:ind w:left="709"/>
        <w:rPr>
          <w:color w:val="4F81BD" w:themeColor="accent1"/>
        </w:rPr>
      </w:pPr>
    </w:p>
    <w:p w14:paraId="3A1665C5" w14:textId="4864C00D" w:rsidR="00B22428" w:rsidRPr="00882808" w:rsidRDefault="00B22428" w:rsidP="004875FC">
      <w:pPr>
        <w:spacing w:after="60"/>
        <w:ind w:left="709" w:hanging="709"/>
        <w:rPr>
          <w:i/>
          <w:iCs/>
          <w:color w:val="4F81BD" w:themeColor="accent1"/>
        </w:rPr>
      </w:pPr>
      <w:r w:rsidRPr="00882808">
        <w:rPr>
          <w:i/>
          <w:iCs/>
          <w:color w:val="4F81BD" w:themeColor="accent1"/>
        </w:rPr>
        <w:t xml:space="preserve">U.2.4 </w:t>
      </w:r>
      <w:r w:rsidR="00E93718" w:rsidRPr="00882808">
        <w:rPr>
          <w:i/>
          <w:iCs/>
          <w:color w:val="4F81BD" w:themeColor="accent1"/>
        </w:rPr>
        <w:tab/>
      </w:r>
      <w:r w:rsidRPr="00882808">
        <w:rPr>
          <w:i/>
          <w:iCs/>
          <w:color w:val="4F81BD" w:themeColor="accent1"/>
        </w:rPr>
        <w:t>Fire resistance from outside to inside for storage group 1, 2 and 3</w:t>
      </w:r>
      <w:r w:rsidR="00825A04" w:rsidRPr="00882808">
        <w:rPr>
          <w:i/>
          <w:iCs/>
          <w:color w:val="4F81BD" w:themeColor="accent1"/>
        </w:rPr>
        <w:t xml:space="preserve"> (PGS 8:2011 reference:</w:t>
      </w:r>
      <w:r w:rsidR="006A2295" w:rsidRPr="00882808">
        <w:rPr>
          <w:i/>
          <w:iCs/>
          <w:color w:val="4F81BD" w:themeColor="accent1"/>
        </w:rPr>
        <w:t xml:space="preserve"> reg 5.5.4 and reg 5.6.7)</w:t>
      </w:r>
    </w:p>
    <w:p w14:paraId="668AFDFB" w14:textId="62A9C313" w:rsidR="00B22428" w:rsidRPr="00882808" w:rsidRDefault="00B22428" w:rsidP="004875FC">
      <w:pPr>
        <w:spacing w:after="0"/>
        <w:ind w:left="709"/>
        <w:jc w:val="both"/>
        <w:rPr>
          <w:color w:val="4F81BD" w:themeColor="accent1"/>
        </w:rPr>
      </w:pPr>
      <w:r w:rsidRPr="00882808">
        <w:rPr>
          <w:color w:val="4F81BD" w:themeColor="accent1"/>
        </w:rPr>
        <w:t xml:space="preserve">M9 (Fire resistance of storage facility </w:t>
      </w:r>
      <w:r w:rsidR="00660302" w:rsidRPr="00882808">
        <w:rPr>
          <w:color w:val="4F81BD" w:themeColor="accent1"/>
        </w:rPr>
        <w:t>f</w:t>
      </w:r>
      <w:r w:rsidRPr="00882808">
        <w:rPr>
          <w:color w:val="4F81BD" w:themeColor="accent1"/>
        </w:rPr>
        <w:t xml:space="preserve">rom outside to inside) indicates that integral storage facilities for more than 30 kg of organic peroxides must have a fire resistance from outside to inside of 60 </w:t>
      </w:r>
      <w:r w:rsidR="00825A04" w:rsidRPr="00882808">
        <w:rPr>
          <w:color w:val="4F81BD" w:themeColor="accent1"/>
        </w:rPr>
        <w:t xml:space="preserve">minutes or </w:t>
      </w:r>
      <w:r w:rsidRPr="00882808">
        <w:rPr>
          <w:color w:val="4F81BD" w:themeColor="accent1"/>
        </w:rPr>
        <w:t>more.</w:t>
      </w:r>
      <w:r w:rsidR="00F63094">
        <w:rPr>
          <w:color w:val="4F81BD" w:themeColor="accent1"/>
        </w:rPr>
        <w:t xml:space="preserve"> </w:t>
      </w:r>
      <w:r w:rsidRPr="00882808">
        <w:rPr>
          <w:color w:val="4F81BD" w:themeColor="accent1"/>
        </w:rPr>
        <w:t>This obligation arises from the risk analysis.</w:t>
      </w:r>
      <w:r w:rsidR="00F63094">
        <w:rPr>
          <w:color w:val="4F81BD" w:themeColor="accent1"/>
        </w:rPr>
        <w:t xml:space="preserve"> </w:t>
      </w:r>
      <w:r w:rsidRPr="00882808">
        <w:rPr>
          <w:color w:val="4F81BD" w:themeColor="accent1"/>
        </w:rPr>
        <w:t>In PGS 8:2011, a fire resistance of 60 minutes only applies to integral storage facilities for more than 150 kg of organic peroxides</w:t>
      </w:r>
    </w:p>
    <w:p w14:paraId="259A8F10" w14:textId="6975A2BF" w:rsidR="00B22428" w:rsidRDefault="00B22428" w:rsidP="004875FC">
      <w:pPr>
        <w:spacing w:after="0"/>
        <w:ind w:left="709"/>
        <w:jc w:val="both"/>
        <w:rPr>
          <w:color w:val="4F81BD" w:themeColor="accent1"/>
        </w:rPr>
      </w:pPr>
      <w:r w:rsidRPr="00882808">
        <w:rPr>
          <w:color w:val="4F81BD" w:themeColor="accent1"/>
        </w:rPr>
        <w:t>This is a tightening for storage facilities with more than 30 kg, but less than 150 kg of organic peroxides. For existing storage facilities this may mean that structural modifications are required. An implementation period has therefore been included in Appendix V for this measure</w:t>
      </w:r>
      <w:r w:rsidR="00F63094">
        <w:rPr>
          <w:color w:val="4F81BD" w:themeColor="accent1"/>
        </w:rPr>
        <w:t xml:space="preserve"> </w:t>
      </w:r>
      <w:r w:rsidR="00F63094">
        <w:rPr>
          <w:color w:val="4F81BD" w:themeColor="accent1"/>
          <w:vertAlign w:val="superscript"/>
        </w:rPr>
        <w:t>3)</w:t>
      </w:r>
      <w:r w:rsidR="004875FC">
        <w:rPr>
          <w:color w:val="4F81BD" w:themeColor="accent1"/>
        </w:rPr>
        <w:t>.</w:t>
      </w:r>
    </w:p>
    <w:p w14:paraId="07D2288E" w14:textId="60F16E7F" w:rsidR="00CA7FD6" w:rsidRDefault="00CA7FD6" w:rsidP="00CA7FD6">
      <w:pPr>
        <w:spacing w:after="0"/>
        <w:ind w:left="709"/>
        <w:rPr>
          <w:i/>
          <w:iCs/>
          <w:color w:val="4F81BD" w:themeColor="accent1"/>
          <w:vertAlign w:val="superscript"/>
        </w:rPr>
      </w:pPr>
    </w:p>
    <w:p w14:paraId="2928FAAB" w14:textId="77777777" w:rsidR="00F63094" w:rsidRDefault="00F63094" w:rsidP="00CA7FD6">
      <w:pPr>
        <w:spacing w:after="0"/>
        <w:ind w:left="709"/>
        <w:rPr>
          <w:i/>
          <w:iCs/>
          <w:color w:val="4F81BD" w:themeColor="accent1"/>
          <w:vertAlign w:val="superscript"/>
        </w:rPr>
      </w:pPr>
    </w:p>
    <w:p w14:paraId="73A10480" w14:textId="77777777" w:rsidR="00CA7FD6" w:rsidRDefault="00CA7FD6" w:rsidP="00CA7FD6">
      <w:pPr>
        <w:spacing w:after="0"/>
        <w:ind w:left="709"/>
        <w:rPr>
          <w:i/>
          <w:iCs/>
          <w:color w:val="4F81BD" w:themeColor="accent1"/>
          <w:vertAlign w:val="superscript"/>
        </w:rPr>
      </w:pPr>
    </w:p>
    <w:p w14:paraId="1E81764F" w14:textId="77777777" w:rsidR="00CA7FD6" w:rsidRDefault="00CA7FD6" w:rsidP="00CA7FD6">
      <w:pPr>
        <w:spacing w:after="0"/>
        <w:ind w:left="709"/>
        <w:rPr>
          <w:i/>
          <w:iCs/>
          <w:color w:val="4F81BD" w:themeColor="accent1"/>
          <w:vertAlign w:val="superscript"/>
        </w:rPr>
      </w:pPr>
    </w:p>
    <w:p w14:paraId="2438B9BD" w14:textId="77777777" w:rsidR="00CA7FD6" w:rsidRDefault="00CA7FD6" w:rsidP="00CA7FD6">
      <w:pPr>
        <w:spacing w:after="0"/>
        <w:ind w:left="709"/>
        <w:rPr>
          <w:i/>
          <w:iCs/>
          <w:color w:val="4F81BD" w:themeColor="accent1"/>
          <w:vertAlign w:val="superscript"/>
        </w:rPr>
      </w:pPr>
    </w:p>
    <w:p w14:paraId="69E70945" w14:textId="5B1B29B3" w:rsidR="00CA7FD6" w:rsidRDefault="002478B7" w:rsidP="00CA7FD6">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3360" behindDoc="0" locked="0" layoutInCell="1" allowOverlap="1" wp14:anchorId="392F84DF" wp14:editId="24320F2F">
                <wp:simplePos x="0" y="0"/>
                <wp:positionH relativeFrom="column">
                  <wp:posOffset>0</wp:posOffset>
                </wp:positionH>
                <wp:positionV relativeFrom="paragraph">
                  <wp:posOffset>152400</wp:posOffset>
                </wp:positionV>
                <wp:extent cx="1021080" cy="0"/>
                <wp:effectExtent l="0" t="0" r="0" b="0"/>
                <wp:wrapSquare wrapText="bothSides"/>
                <wp:docPr id="4" name="Straight Connector 4"/>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129BF"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pt" to="80.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" strokecolor="#4579b8 [3044]">
                <w10:wrap type="square"/>
              </v:line>
            </w:pict>
          </mc:Fallback>
        </mc:AlternateContent>
      </w:r>
    </w:p>
    <w:p w14:paraId="1FDC8873" w14:textId="0B9CDE06" w:rsidR="004875FC" w:rsidRDefault="002478B7" w:rsidP="007532E2">
      <w:pPr>
        <w:spacing w:after="0"/>
        <w:rPr>
          <w:color w:val="4F81BD" w:themeColor="accent1"/>
        </w:rPr>
      </w:pPr>
      <w:r>
        <w:rPr>
          <w:i/>
          <w:iCs/>
          <w:color w:val="4F81BD" w:themeColor="accent1"/>
          <w:vertAlign w:val="superscript"/>
        </w:rPr>
        <w:t>3</w:t>
      </w:r>
      <w:r w:rsidR="00B8015A" w:rsidRPr="00403942">
        <w:rPr>
          <w:i/>
          <w:iCs/>
          <w:color w:val="4F81BD" w:themeColor="accent1"/>
          <w:vertAlign w:val="superscript"/>
        </w:rPr>
        <w:t>)</w:t>
      </w:r>
      <w:r w:rsidR="00B8015A">
        <w:rPr>
          <w:i/>
          <w:iCs/>
          <w:color w:val="4F81BD" w:themeColor="accent1"/>
        </w:rPr>
        <w:t xml:space="preserve"> </w:t>
      </w:r>
      <w:r>
        <w:rPr>
          <w:i/>
          <w:iCs/>
          <w:color w:val="4F81BD" w:themeColor="accent1"/>
        </w:rPr>
        <w:t>Implementation period: 18 months from April 1, 2020</w:t>
      </w:r>
      <w:r w:rsidR="00B8015A" w:rsidRPr="00403942">
        <w:rPr>
          <w:i/>
          <w:iCs/>
          <w:color w:val="4F81BD" w:themeColor="accent1"/>
        </w:rPr>
        <w:t>.</w:t>
      </w:r>
    </w:p>
    <w:p w14:paraId="22ABCD6C" w14:textId="5A223E35" w:rsidR="009360B0" w:rsidRPr="00882808" w:rsidRDefault="009360B0" w:rsidP="00583E82">
      <w:pPr>
        <w:spacing w:after="60"/>
        <w:rPr>
          <w:i/>
          <w:iCs/>
          <w:color w:val="4F81BD" w:themeColor="accent1"/>
        </w:rPr>
      </w:pPr>
      <w:r w:rsidRPr="00882808">
        <w:rPr>
          <w:i/>
          <w:iCs/>
          <w:color w:val="4F81BD" w:themeColor="accent1"/>
        </w:rPr>
        <w:lastRenderedPageBreak/>
        <w:t xml:space="preserve">U.2.5 </w:t>
      </w:r>
      <w:r w:rsidR="003F3484" w:rsidRPr="00882808">
        <w:rPr>
          <w:i/>
          <w:iCs/>
          <w:color w:val="4F81BD" w:themeColor="accent1"/>
        </w:rPr>
        <w:tab/>
      </w:r>
      <w:r w:rsidRPr="00882808">
        <w:rPr>
          <w:i/>
          <w:iCs/>
          <w:color w:val="4F81BD" w:themeColor="accent1"/>
        </w:rPr>
        <w:t>Temperature monitoring</w:t>
      </w:r>
      <w:r w:rsidR="006A2295" w:rsidRPr="00882808">
        <w:rPr>
          <w:i/>
          <w:iCs/>
          <w:color w:val="4F81BD" w:themeColor="accent1"/>
        </w:rPr>
        <w:t xml:space="preserve"> (PGS 8:2011 reference: reg 5.5.10)</w:t>
      </w:r>
    </w:p>
    <w:p w14:paraId="6C202A9B" w14:textId="1E5FFF2C" w:rsidR="009360B0" w:rsidRDefault="009360B0" w:rsidP="004875FC">
      <w:pPr>
        <w:spacing w:after="0"/>
        <w:ind w:left="709"/>
        <w:jc w:val="both"/>
        <w:rPr>
          <w:color w:val="4F81BD" w:themeColor="accent1"/>
        </w:rPr>
      </w:pPr>
      <w:r w:rsidRPr="00882808">
        <w:rPr>
          <w:color w:val="4F81BD" w:themeColor="accent1"/>
        </w:rPr>
        <w:t>M23 (Temperature monitoring) indicates that actively cooled or heated storage devices must have a temperature sensor for temperature monitoring. In PGS 8:2011 this measure only applies to storage facilities for 30 kg or more</w:t>
      </w:r>
      <w:r w:rsidR="00F63094">
        <w:rPr>
          <w:color w:val="4F81BD" w:themeColor="accent1"/>
        </w:rPr>
        <w:t xml:space="preserve">. </w:t>
      </w:r>
      <w:r w:rsidRPr="00882808">
        <w:rPr>
          <w:color w:val="4F81BD" w:themeColor="accent1"/>
        </w:rPr>
        <w:t>In practice, all actively cooled or heated storage facilities will have such a temperature monitoring. Therefore</w:t>
      </w:r>
      <w:r w:rsidR="006A2295" w:rsidRPr="00882808">
        <w:rPr>
          <w:color w:val="4F81BD" w:themeColor="accent1"/>
        </w:rPr>
        <w:t>,</w:t>
      </w:r>
      <w:r w:rsidRPr="00882808">
        <w:rPr>
          <w:color w:val="4F81BD" w:themeColor="accent1"/>
        </w:rPr>
        <w:t xml:space="preserve"> no implementation </w:t>
      </w:r>
      <w:r w:rsidR="00F63094">
        <w:rPr>
          <w:color w:val="4F81BD" w:themeColor="accent1"/>
        </w:rPr>
        <w:t>period</w:t>
      </w:r>
      <w:r w:rsidRPr="00882808">
        <w:rPr>
          <w:color w:val="4F81BD" w:themeColor="accent1"/>
        </w:rPr>
        <w:t xml:space="preserve"> has been included.</w:t>
      </w:r>
    </w:p>
    <w:p w14:paraId="7CF4C92E" w14:textId="77777777" w:rsidR="004875FC" w:rsidRPr="00882808" w:rsidRDefault="004875FC" w:rsidP="004875FC">
      <w:pPr>
        <w:spacing w:after="0"/>
        <w:ind w:left="709"/>
        <w:jc w:val="both"/>
        <w:rPr>
          <w:color w:val="4F81BD" w:themeColor="accent1"/>
        </w:rPr>
      </w:pPr>
    </w:p>
    <w:p w14:paraId="7423F2F0" w14:textId="3A5016C7" w:rsidR="00121C24" w:rsidRPr="00882808" w:rsidRDefault="00121C24" w:rsidP="00583E82">
      <w:pPr>
        <w:spacing w:after="60"/>
        <w:rPr>
          <w:i/>
          <w:iCs/>
          <w:color w:val="4F81BD" w:themeColor="accent1"/>
        </w:rPr>
      </w:pPr>
      <w:r w:rsidRPr="00882808">
        <w:rPr>
          <w:i/>
          <w:iCs/>
          <w:color w:val="4F81BD" w:themeColor="accent1"/>
        </w:rPr>
        <w:t xml:space="preserve">U.2.6 </w:t>
      </w:r>
      <w:r w:rsidR="00921E50" w:rsidRPr="00882808">
        <w:rPr>
          <w:i/>
          <w:iCs/>
          <w:color w:val="4F81BD" w:themeColor="accent1"/>
        </w:rPr>
        <w:tab/>
      </w:r>
      <w:r w:rsidRPr="00882808">
        <w:rPr>
          <w:i/>
          <w:iCs/>
          <w:color w:val="4F81BD" w:themeColor="accent1"/>
        </w:rPr>
        <w:t>Distance between packages and wall</w:t>
      </w:r>
      <w:r w:rsidR="006A2295" w:rsidRPr="00882808">
        <w:rPr>
          <w:i/>
          <w:iCs/>
          <w:color w:val="4F81BD" w:themeColor="accent1"/>
        </w:rPr>
        <w:t xml:space="preserve"> (PGS 8:2011 reference: reg 5.2.5</w:t>
      </w:r>
      <w:r w:rsidR="001343C9" w:rsidRPr="00882808">
        <w:rPr>
          <w:i/>
          <w:iCs/>
          <w:color w:val="4F81BD" w:themeColor="accent1"/>
        </w:rPr>
        <w:t>)</w:t>
      </w:r>
    </w:p>
    <w:p w14:paraId="222BD973" w14:textId="3E09A2D1" w:rsidR="00121C24" w:rsidRPr="00882808" w:rsidRDefault="00121C24" w:rsidP="004875FC">
      <w:pPr>
        <w:spacing w:after="0"/>
        <w:ind w:left="709"/>
        <w:jc w:val="both"/>
        <w:rPr>
          <w:color w:val="4F81BD" w:themeColor="accent1"/>
        </w:rPr>
      </w:pPr>
      <w:r w:rsidRPr="00882808">
        <w:rPr>
          <w:color w:val="4F81BD" w:themeColor="accent1"/>
        </w:rPr>
        <w:t>M27 (Storage facilities - Distance packages) indicates that the distance between packages and a wall must be at least 15 cm. This measure applies to all storage facilities for more than 150 kg of organic peroxides. In PGS 8:2011 this measure only applies to storage facilities for more than 1</w:t>
      </w:r>
      <w:r w:rsidR="0057117A">
        <w:rPr>
          <w:color w:val="4F81BD" w:themeColor="accent1"/>
        </w:rPr>
        <w:t xml:space="preserve"> </w:t>
      </w:r>
      <w:r w:rsidRPr="00882808">
        <w:rPr>
          <w:color w:val="4F81BD" w:themeColor="accent1"/>
        </w:rPr>
        <w:t>000 kg of organic peroxides</w:t>
      </w:r>
      <w:r w:rsidR="004875FC">
        <w:rPr>
          <w:color w:val="4F81BD" w:themeColor="accent1"/>
        </w:rPr>
        <w:t>.</w:t>
      </w:r>
      <w:r w:rsidRPr="00882808">
        <w:rPr>
          <w:color w:val="4F81BD" w:themeColor="accent1"/>
        </w:rPr>
        <w:t xml:space="preserve"> </w:t>
      </w:r>
    </w:p>
    <w:p w14:paraId="45A4F356" w14:textId="45A59791" w:rsidR="00121C24" w:rsidRDefault="00121C24"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F63094">
        <w:rPr>
          <w:color w:val="4F81BD" w:themeColor="accent1"/>
        </w:rPr>
        <w:t xml:space="preserve"> </w:t>
      </w:r>
      <w:r w:rsidR="00F63094">
        <w:rPr>
          <w:color w:val="4F81BD" w:themeColor="accent1"/>
          <w:vertAlign w:val="superscript"/>
        </w:rPr>
        <w:t>4)</w:t>
      </w:r>
      <w:r w:rsidRPr="00882808">
        <w:rPr>
          <w:color w:val="4F81BD" w:themeColor="accent1"/>
        </w:rPr>
        <w:t>.</w:t>
      </w:r>
    </w:p>
    <w:p w14:paraId="2B9DE5C0" w14:textId="77777777" w:rsidR="004875FC" w:rsidRPr="00882808" w:rsidRDefault="004875FC" w:rsidP="004875FC">
      <w:pPr>
        <w:spacing w:after="0"/>
        <w:ind w:left="709"/>
        <w:jc w:val="both"/>
        <w:rPr>
          <w:color w:val="4F81BD" w:themeColor="accent1"/>
        </w:rPr>
      </w:pPr>
    </w:p>
    <w:p w14:paraId="41B15296" w14:textId="39FB03DE" w:rsidR="00121C24" w:rsidRPr="00882808" w:rsidRDefault="00121C24" w:rsidP="00583E82">
      <w:pPr>
        <w:spacing w:after="60"/>
        <w:rPr>
          <w:i/>
          <w:iCs/>
          <w:color w:val="4F81BD" w:themeColor="accent1"/>
        </w:rPr>
      </w:pPr>
      <w:r w:rsidRPr="00882808">
        <w:rPr>
          <w:i/>
          <w:iCs/>
          <w:color w:val="4F81BD" w:themeColor="accent1"/>
        </w:rPr>
        <w:t xml:space="preserve">U.2.7 </w:t>
      </w:r>
      <w:r w:rsidR="00921E50" w:rsidRPr="00882808">
        <w:rPr>
          <w:i/>
          <w:iCs/>
          <w:color w:val="4F81BD" w:themeColor="accent1"/>
        </w:rPr>
        <w:tab/>
      </w:r>
      <w:r w:rsidRPr="00882808">
        <w:rPr>
          <w:i/>
          <w:iCs/>
          <w:color w:val="4F81BD" w:themeColor="accent1"/>
        </w:rPr>
        <w:t>Distance between pallets</w:t>
      </w:r>
      <w:r w:rsidR="001343C9" w:rsidRPr="00882808">
        <w:rPr>
          <w:i/>
          <w:iCs/>
          <w:color w:val="4F81BD" w:themeColor="accent1"/>
        </w:rPr>
        <w:t xml:space="preserve"> (PGS 8:2011 reference: reg 5.2.6)</w:t>
      </w:r>
    </w:p>
    <w:p w14:paraId="618C3027" w14:textId="12B7FA61" w:rsidR="00121C24" w:rsidRPr="00882808" w:rsidRDefault="00121C24" w:rsidP="004875FC">
      <w:pPr>
        <w:spacing w:after="0"/>
        <w:ind w:left="709"/>
        <w:jc w:val="both"/>
        <w:rPr>
          <w:color w:val="4F81BD" w:themeColor="accent1"/>
        </w:rPr>
      </w:pPr>
      <w:r w:rsidRPr="00882808">
        <w:rPr>
          <w:color w:val="4F81BD" w:themeColor="accent1"/>
        </w:rPr>
        <w:t>M28 (Storage facility - Distance pallets) indicates that the distance between pallets must be at least 10 cm. This allows good air circulation around packaging. This measure applies to all storage facilities for more than 150 kg of organic peroxides.</w:t>
      </w:r>
      <w:r w:rsidR="00F63094">
        <w:rPr>
          <w:color w:val="4F81BD" w:themeColor="accent1"/>
        </w:rPr>
        <w:t xml:space="preserve"> </w:t>
      </w:r>
      <w:r w:rsidRPr="00882808">
        <w:rPr>
          <w:color w:val="4F81BD" w:themeColor="accent1"/>
        </w:rPr>
        <w:t>In PGS 8:2011 this measure only applies to storage facilities for more than 1</w:t>
      </w:r>
      <w:r w:rsidR="0057117A">
        <w:rPr>
          <w:color w:val="4F81BD" w:themeColor="accent1"/>
        </w:rPr>
        <w:t xml:space="preserve"> </w:t>
      </w:r>
      <w:r w:rsidRPr="00882808">
        <w:rPr>
          <w:color w:val="4F81BD" w:themeColor="accent1"/>
        </w:rPr>
        <w:t>000 kg of organic peroxides</w:t>
      </w:r>
      <w:r w:rsidR="004875FC">
        <w:rPr>
          <w:color w:val="4F81BD" w:themeColor="accent1"/>
        </w:rPr>
        <w:t>.</w:t>
      </w:r>
      <w:r w:rsidRPr="00882808">
        <w:rPr>
          <w:color w:val="4F81BD" w:themeColor="accent1"/>
        </w:rPr>
        <w:t xml:space="preserve"> </w:t>
      </w:r>
    </w:p>
    <w:p w14:paraId="24A5F5AB" w14:textId="0A141A27" w:rsidR="000011F1" w:rsidRDefault="00121C24"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F63094">
        <w:rPr>
          <w:color w:val="4F81BD" w:themeColor="accent1"/>
        </w:rPr>
        <w:t xml:space="preserve"> </w:t>
      </w:r>
      <w:r w:rsidR="00F63094">
        <w:rPr>
          <w:color w:val="4F81BD" w:themeColor="accent1"/>
          <w:vertAlign w:val="superscript"/>
        </w:rPr>
        <w:t>4)</w:t>
      </w:r>
      <w:r w:rsidR="000011F1" w:rsidRPr="00882808">
        <w:rPr>
          <w:color w:val="4F81BD" w:themeColor="accent1"/>
        </w:rPr>
        <w:t>.</w:t>
      </w:r>
    </w:p>
    <w:p w14:paraId="733F09D1" w14:textId="77777777" w:rsidR="004875FC" w:rsidRPr="00882808" w:rsidRDefault="004875FC" w:rsidP="004875FC">
      <w:pPr>
        <w:spacing w:after="0"/>
        <w:ind w:left="709"/>
        <w:jc w:val="both"/>
        <w:rPr>
          <w:color w:val="4F81BD" w:themeColor="accent1"/>
        </w:rPr>
      </w:pPr>
    </w:p>
    <w:p w14:paraId="65C21CF8" w14:textId="690A99D6" w:rsidR="000011F1" w:rsidRPr="00882808" w:rsidRDefault="000011F1" w:rsidP="00583E82">
      <w:pPr>
        <w:spacing w:after="60"/>
        <w:jc w:val="both"/>
        <w:rPr>
          <w:i/>
          <w:iCs/>
          <w:color w:val="4F81BD" w:themeColor="accent1"/>
        </w:rPr>
      </w:pPr>
      <w:r w:rsidRPr="00882808">
        <w:rPr>
          <w:i/>
          <w:iCs/>
          <w:color w:val="4F81BD" w:themeColor="accent1"/>
        </w:rPr>
        <w:t xml:space="preserve">U.2.8 </w:t>
      </w:r>
      <w:r w:rsidR="006E4DB2" w:rsidRPr="00882808">
        <w:rPr>
          <w:i/>
          <w:iCs/>
          <w:color w:val="4F81BD" w:themeColor="accent1"/>
        </w:rPr>
        <w:tab/>
      </w:r>
      <w:r w:rsidRPr="00882808">
        <w:rPr>
          <w:i/>
          <w:iCs/>
          <w:color w:val="4F81BD" w:themeColor="accent1"/>
        </w:rPr>
        <w:t>Emergency pressure relief - Free space inside</w:t>
      </w:r>
      <w:r w:rsidR="00907384" w:rsidRPr="00882808">
        <w:rPr>
          <w:i/>
          <w:iCs/>
          <w:color w:val="4F81BD" w:themeColor="accent1"/>
        </w:rPr>
        <w:t xml:space="preserve"> (PGS 8:2011 reference: reg 5.7.16)</w:t>
      </w:r>
    </w:p>
    <w:p w14:paraId="0118530B" w14:textId="370D1589" w:rsidR="000011F1" w:rsidRPr="00882808" w:rsidRDefault="000011F1" w:rsidP="004875FC">
      <w:pPr>
        <w:spacing w:after="0"/>
        <w:ind w:left="709"/>
        <w:jc w:val="both"/>
        <w:rPr>
          <w:color w:val="4F81BD" w:themeColor="accent1"/>
        </w:rPr>
      </w:pPr>
      <w:r w:rsidRPr="00882808">
        <w:rPr>
          <w:color w:val="4F81BD" w:themeColor="accent1"/>
        </w:rPr>
        <w:t xml:space="preserve">M33 (Emergency Relief </w:t>
      </w:r>
      <w:r w:rsidR="00F63094">
        <w:rPr>
          <w:color w:val="4F81BD" w:themeColor="accent1"/>
        </w:rPr>
        <w:t>–</w:t>
      </w:r>
      <w:r w:rsidRPr="00882808">
        <w:rPr>
          <w:color w:val="4F81BD" w:themeColor="accent1"/>
        </w:rPr>
        <w:t xml:space="preserve"> </w:t>
      </w:r>
      <w:r w:rsidR="00F63094">
        <w:rPr>
          <w:color w:val="4F81BD" w:themeColor="accent1"/>
        </w:rPr>
        <w:t>Free space</w:t>
      </w:r>
      <w:r w:rsidRPr="00882808">
        <w:rPr>
          <w:color w:val="4F81BD" w:themeColor="accent1"/>
        </w:rPr>
        <w:t xml:space="preserve"> </w:t>
      </w:r>
      <w:r w:rsidR="00F63094">
        <w:rPr>
          <w:color w:val="4F81BD" w:themeColor="accent1"/>
        </w:rPr>
        <w:t>i</w:t>
      </w:r>
      <w:r w:rsidRPr="00882808">
        <w:rPr>
          <w:color w:val="4F81BD" w:themeColor="accent1"/>
        </w:rPr>
        <w:t>nside) indicates that there must be a 50 cm</w:t>
      </w:r>
      <w:r w:rsidR="00907384" w:rsidRPr="00882808">
        <w:rPr>
          <w:color w:val="4F81BD" w:themeColor="accent1"/>
        </w:rPr>
        <w:t xml:space="preserve"> free space</w:t>
      </w:r>
      <w:r w:rsidRPr="00882808">
        <w:rPr>
          <w:color w:val="4F81BD" w:themeColor="accent1"/>
        </w:rPr>
        <w:t xml:space="preserve"> </w:t>
      </w:r>
      <w:r w:rsidR="00907384" w:rsidRPr="00882808">
        <w:rPr>
          <w:color w:val="4F81BD" w:themeColor="accent1"/>
        </w:rPr>
        <w:t xml:space="preserve">on the </w:t>
      </w:r>
      <w:r w:rsidRPr="00882808">
        <w:rPr>
          <w:color w:val="4F81BD" w:themeColor="accent1"/>
        </w:rPr>
        <w:t xml:space="preserve">inside of an emergency </w:t>
      </w:r>
      <w:r w:rsidR="00907384" w:rsidRPr="00882808">
        <w:rPr>
          <w:color w:val="4F81BD" w:themeColor="accent1"/>
        </w:rPr>
        <w:t xml:space="preserve">pressure </w:t>
      </w:r>
      <w:r w:rsidRPr="00882808">
        <w:rPr>
          <w:color w:val="4F81BD" w:themeColor="accent1"/>
        </w:rPr>
        <w:t>relief. This measure applies to storage facilities for more than 150 kg.</w:t>
      </w:r>
      <w:r w:rsidR="00F63094">
        <w:rPr>
          <w:color w:val="4F81BD" w:themeColor="accent1"/>
        </w:rPr>
        <w:t xml:space="preserve"> </w:t>
      </w:r>
      <w:r w:rsidRPr="00882808">
        <w:rPr>
          <w:color w:val="4F81BD" w:themeColor="accent1"/>
        </w:rPr>
        <w:t>In PGS 8:2011 this measure only applies to storage facilities for more than 1</w:t>
      </w:r>
      <w:r w:rsidR="0057117A">
        <w:rPr>
          <w:color w:val="4F81BD" w:themeColor="accent1"/>
        </w:rPr>
        <w:t xml:space="preserve"> </w:t>
      </w:r>
      <w:r w:rsidRPr="00882808">
        <w:rPr>
          <w:color w:val="4F81BD" w:themeColor="accent1"/>
        </w:rPr>
        <w:t>000 kg of organic peroxides.</w:t>
      </w:r>
    </w:p>
    <w:p w14:paraId="63EA4C51" w14:textId="77DD9325" w:rsidR="000011F1" w:rsidRDefault="000011F1" w:rsidP="004875FC">
      <w:pPr>
        <w:spacing w:after="0"/>
        <w:ind w:left="709"/>
        <w:jc w:val="both"/>
        <w:rPr>
          <w:color w:val="4F81BD" w:themeColor="accent1"/>
        </w:rPr>
      </w:pPr>
      <w:r w:rsidRPr="00882808">
        <w:rPr>
          <w:color w:val="4F81BD" w:themeColor="accent1"/>
        </w:rPr>
        <w:t>For existing storage facilities this may mean that they need to be reclassified or that they need to be enlarged to accommodate the necessary stock. An implementation period has therefore been included in Appendix V for this measure</w:t>
      </w:r>
      <w:r w:rsidR="0057117A">
        <w:rPr>
          <w:color w:val="4F81BD" w:themeColor="accent1"/>
        </w:rPr>
        <w:t xml:space="preserve"> </w:t>
      </w:r>
      <w:r w:rsidR="0057117A">
        <w:rPr>
          <w:color w:val="4F81BD" w:themeColor="accent1"/>
          <w:vertAlign w:val="superscript"/>
        </w:rPr>
        <w:t>5)</w:t>
      </w:r>
      <w:r w:rsidRPr="00882808">
        <w:rPr>
          <w:color w:val="4F81BD" w:themeColor="accent1"/>
        </w:rPr>
        <w:t>.</w:t>
      </w:r>
    </w:p>
    <w:p w14:paraId="2E14532C" w14:textId="77777777" w:rsidR="004875FC" w:rsidRPr="00882808" w:rsidRDefault="004875FC" w:rsidP="004875FC">
      <w:pPr>
        <w:spacing w:after="0"/>
        <w:ind w:left="709"/>
        <w:jc w:val="both"/>
        <w:rPr>
          <w:color w:val="4F81BD" w:themeColor="accent1"/>
        </w:rPr>
      </w:pPr>
    </w:p>
    <w:p w14:paraId="67AF2505" w14:textId="0359D0E6" w:rsidR="00B05EA6" w:rsidRPr="00882808" w:rsidRDefault="00B05EA6" w:rsidP="00583E82">
      <w:pPr>
        <w:spacing w:after="60"/>
        <w:rPr>
          <w:i/>
          <w:iCs/>
          <w:color w:val="4F81BD" w:themeColor="accent1"/>
        </w:rPr>
      </w:pPr>
      <w:r w:rsidRPr="00882808">
        <w:rPr>
          <w:i/>
          <w:iCs/>
          <w:color w:val="4F81BD" w:themeColor="accent1"/>
        </w:rPr>
        <w:t xml:space="preserve">U.2.9 </w:t>
      </w:r>
      <w:r w:rsidR="001B0C40" w:rsidRPr="00882808">
        <w:rPr>
          <w:i/>
          <w:iCs/>
          <w:color w:val="4F81BD" w:themeColor="accent1"/>
        </w:rPr>
        <w:tab/>
      </w:r>
      <w:r w:rsidRPr="00882808">
        <w:rPr>
          <w:i/>
          <w:iCs/>
          <w:color w:val="4F81BD" w:themeColor="accent1"/>
        </w:rPr>
        <w:t xml:space="preserve">Emergency plan </w:t>
      </w:r>
      <w:r w:rsidR="00907384" w:rsidRPr="00882808">
        <w:rPr>
          <w:i/>
          <w:iCs/>
          <w:color w:val="4F81BD" w:themeColor="accent1"/>
        </w:rPr>
        <w:t>–</w:t>
      </w:r>
      <w:r w:rsidRPr="00882808">
        <w:rPr>
          <w:i/>
          <w:iCs/>
          <w:color w:val="4F81BD" w:themeColor="accent1"/>
        </w:rPr>
        <w:t xml:space="preserve"> Presence</w:t>
      </w:r>
      <w:r w:rsidR="00907384" w:rsidRPr="00882808">
        <w:rPr>
          <w:i/>
          <w:iCs/>
          <w:color w:val="4F81BD" w:themeColor="accent1"/>
        </w:rPr>
        <w:t xml:space="preserve"> (PGS 8:2011 reference: reg 9.1.1)</w:t>
      </w:r>
    </w:p>
    <w:p w14:paraId="452C27BA" w14:textId="0BFFE863" w:rsidR="00B05EA6" w:rsidRPr="00882808" w:rsidRDefault="00B05EA6" w:rsidP="004875FC">
      <w:pPr>
        <w:spacing w:after="0"/>
        <w:ind w:left="709"/>
        <w:jc w:val="both"/>
        <w:rPr>
          <w:color w:val="4F81BD" w:themeColor="accent1"/>
        </w:rPr>
      </w:pPr>
      <w:r w:rsidRPr="00882808">
        <w:rPr>
          <w:color w:val="4F81BD" w:themeColor="accent1"/>
        </w:rPr>
        <w:t>M70 (Emergency plan - Presence and content) indicates that companies with more than 2</w:t>
      </w:r>
      <w:r w:rsidR="0057117A">
        <w:rPr>
          <w:color w:val="4F81BD" w:themeColor="accent1"/>
        </w:rPr>
        <w:t xml:space="preserve"> </w:t>
      </w:r>
      <w:r w:rsidRPr="00882808">
        <w:rPr>
          <w:color w:val="4F81BD" w:themeColor="accent1"/>
        </w:rPr>
        <w:t>500 kg of organic peroxides must have an emergency plan. It makes no difference whether cooling is required to store the organic peroxides. PGS 8:2011 requires an emergency plan for the following storage facilities:</w:t>
      </w:r>
    </w:p>
    <w:p w14:paraId="49FCEE86" w14:textId="1814CD20" w:rsidR="00B05EA6" w:rsidRPr="00882808" w:rsidRDefault="00B05EA6" w:rsidP="002F3574">
      <w:pPr>
        <w:pStyle w:val="ListParagraph"/>
        <w:numPr>
          <w:ilvl w:val="0"/>
          <w:numId w:val="3"/>
        </w:numPr>
        <w:spacing w:after="0"/>
        <w:ind w:left="993" w:hanging="284"/>
        <w:jc w:val="both"/>
        <w:rPr>
          <w:color w:val="4F81BD" w:themeColor="accent1"/>
        </w:rPr>
      </w:pPr>
      <w:r w:rsidRPr="00882808">
        <w:rPr>
          <w:color w:val="4F81BD" w:themeColor="accent1"/>
        </w:rPr>
        <w:t>all refrigerated storage facilities;</w:t>
      </w:r>
    </w:p>
    <w:p w14:paraId="0757705C" w14:textId="42AB6FD2" w:rsidR="00B05EA6" w:rsidRPr="00882808" w:rsidRDefault="00B05EA6" w:rsidP="002F3574">
      <w:pPr>
        <w:pStyle w:val="ListParagraph"/>
        <w:numPr>
          <w:ilvl w:val="0"/>
          <w:numId w:val="3"/>
        </w:numPr>
        <w:spacing w:after="0"/>
        <w:ind w:left="993" w:hanging="284"/>
        <w:jc w:val="both"/>
        <w:rPr>
          <w:color w:val="4F81BD" w:themeColor="accent1"/>
        </w:rPr>
      </w:pPr>
      <w:r w:rsidRPr="00882808">
        <w:rPr>
          <w:color w:val="4F81BD" w:themeColor="accent1"/>
        </w:rPr>
        <w:t>non-refrigerated storage facilities for more than 10 000 kg of organic peroxides.</w:t>
      </w:r>
    </w:p>
    <w:p w14:paraId="3E3A1A8E" w14:textId="087581C2" w:rsidR="00B05EA6" w:rsidRDefault="00B05EA6" w:rsidP="004875FC">
      <w:pPr>
        <w:spacing w:after="0"/>
        <w:ind w:left="709"/>
        <w:jc w:val="both"/>
        <w:rPr>
          <w:color w:val="4F81BD" w:themeColor="accent1"/>
        </w:rPr>
      </w:pPr>
      <w:r w:rsidRPr="00882808">
        <w:rPr>
          <w:color w:val="4F81BD" w:themeColor="accent1"/>
        </w:rPr>
        <w:t>For refrigerated storage this means more flexibility and for non-refrigerated storage it means more stringent requirements. An implementation period has therefore been included in Appendix V for the latter group</w:t>
      </w:r>
      <w:r w:rsidR="0057117A">
        <w:rPr>
          <w:color w:val="4F81BD" w:themeColor="accent1"/>
        </w:rPr>
        <w:t xml:space="preserve"> </w:t>
      </w:r>
      <w:r w:rsidR="0057117A">
        <w:rPr>
          <w:color w:val="4F81BD" w:themeColor="accent1"/>
          <w:vertAlign w:val="superscript"/>
        </w:rPr>
        <w:t>6)</w:t>
      </w:r>
      <w:r w:rsidRPr="00882808">
        <w:rPr>
          <w:color w:val="4F81BD" w:themeColor="accent1"/>
        </w:rPr>
        <w:t>.</w:t>
      </w:r>
    </w:p>
    <w:p w14:paraId="52D3F571" w14:textId="5F7FBC50" w:rsidR="00F63094" w:rsidRDefault="00F63094" w:rsidP="00F63094">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5408" behindDoc="0" locked="0" layoutInCell="1" allowOverlap="1" wp14:anchorId="33E7E3BF" wp14:editId="6105A093">
                <wp:simplePos x="0" y="0"/>
                <wp:positionH relativeFrom="column">
                  <wp:posOffset>0</wp:posOffset>
                </wp:positionH>
                <wp:positionV relativeFrom="paragraph">
                  <wp:posOffset>153670</wp:posOffset>
                </wp:positionV>
                <wp:extent cx="1021080" cy="0"/>
                <wp:effectExtent l="0" t="0" r="0" b="0"/>
                <wp:wrapSquare wrapText="bothSides"/>
                <wp:docPr id="6" name="Straight Connector 6"/>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90C1C"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2.1pt" to="80.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" strokecolor="#4579b8 [3044]">
                <w10:wrap type="square"/>
              </v:line>
            </w:pict>
          </mc:Fallback>
        </mc:AlternateContent>
      </w:r>
    </w:p>
    <w:p w14:paraId="2F142BFA" w14:textId="103FFE7C" w:rsidR="00F63094" w:rsidRDefault="00F63094" w:rsidP="007532E2">
      <w:pPr>
        <w:spacing w:after="0"/>
        <w:rPr>
          <w:i/>
          <w:iCs/>
          <w:color w:val="4F81BD" w:themeColor="accent1"/>
        </w:rPr>
      </w:pPr>
      <w:r>
        <w:rPr>
          <w:i/>
          <w:iCs/>
          <w:color w:val="4F81BD" w:themeColor="accent1"/>
          <w:vertAlign w:val="superscript"/>
        </w:rPr>
        <w:t>4</w:t>
      </w:r>
      <w:r w:rsidRPr="00403942">
        <w:rPr>
          <w:i/>
          <w:iCs/>
          <w:color w:val="4F81BD" w:themeColor="accent1"/>
          <w:vertAlign w:val="superscript"/>
        </w:rPr>
        <w:t>)</w:t>
      </w:r>
      <w:r>
        <w:rPr>
          <w:i/>
          <w:iCs/>
          <w:color w:val="4F81BD" w:themeColor="accent1"/>
        </w:rPr>
        <w:t xml:space="preserve"> Implementation period: 6 months from April 1, 2020</w:t>
      </w:r>
      <w:r w:rsidRPr="00403942">
        <w:rPr>
          <w:i/>
          <w:iCs/>
          <w:color w:val="4F81BD" w:themeColor="accent1"/>
        </w:rPr>
        <w:t>.</w:t>
      </w:r>
    </w:p>
    <w:p w14:paraId="1FACFCED" w14:textId="4FCABFEF" w:rsidR="0057117A" w:rsidRDefault="0057117A" w:rsidP="007532E2">
      <w:pPr>
        <w:spacing w:after="0"/>
        <w:rPr>
          <w:i/>
          <w:iCs/>
          <w:color w:val="4F81BD" w:themeColor="accent1"/>
        </w:rPr>
      </w:pPr>
      <w:r>
        <w:rPr>
          <w:i/>
          <w:iCs/>
          <w:color w:val="4F81BD" w:themeColor="accent1"/>
          <w:vertAlign w:val="superscript"/>
        </w:rPr>
        <w:t>5</w:t>
      </w:r>
      <w:r w:rsidRPr="00403942">
        <w:rPr>
          <w:i/>
          <w:iCs/>
          <w:color w:val="4F81BD" w:themeColor="accent1"/>
          <w:vertAlign w:val="superscript"/>
        </w:rPr>
        <w:t>)</w:t>
      </w:r>
      <w:r>
        <w:rPr>
          <w:i/>
          <w:iCs/>
          <w:color w:val="4F81BD" w:themeColor="accent1"/>
        </w:rPr>
        <w:t xml:space="preserve"> Implementation period: 18 months from April 1, 2020</w:t>
      </w:r>
      <w:r w:rsidRPr="00403942">
        <w:rPr>
          <w:i/>
          <w:iCs/>
          <w:color w:val="4F81BD" w:themeColor="accent1"/>
        </w:rPr>
        <w:t>.</w:t>
      </w:r>
    </w:p>
    <w:p w14:paraId="207AED94" w14:textId="554D4ED9" w:rsidR="0057117A" w:rsidRDefault="0057117A" w:rsidP="007532E2">
      <w:pPr>
        <w:spacing w:after="0"/>
        <w:rPr>
          <w:i/>
          <w:iCs/>
          <w:color w:val="4F81BD" w:themeColor="accent1"/>
        </w:rPr>
      </w:pPr>
      <w:r>
        <w:rPr>
          <w:i/>
          <w:iCs/>
          <w:color w:val="4F81BD" w:themeColor="accent1"/>
          <w:vertAlign w:val="superscript"/>
        </w:rPr>
        <w:t>6</w:t>
      </w:r>
      <w:r w:rsidRPr="00403942">
        <w:rPr>
          <w:i/>
          <w:iCs/>
          <w:color w:val="4F81BD" w:themeColor="accent1"/>
          <w:vertAlign w:val="superscript"/>
        </w:rPr>
        <w:t>)</w:t>
      </w:r>
      <w:r>
        <w:rPr>
          <w:i/>
          <w:iCs/>
          <w:color w:val="4F81BD" w:themeColor="accent1"/>
        </w:rPr>
        <w:t xml:space="preserve"> Implementation period: 12 months from April 1, 2020</w:t>
      </w:r>
      <w:r w:rsidRPr="00403942">
        <w:rPr>
          <w:i/>
          <w:iCs/>
          <w:color w:val="4F81BD" w:themeColor="accent1"/>
        </w:rPr>
        <w:t>.</w:t>
      </w:r>
    </w:p>
    <w:p w14:paraId="6C2A4FAD" w14:textId="0462DF31" w:rsidR="003A29F2" w:rsidRPr="00882808" w:rsidRDefault="003A29F2" w:rsidP="00583E82">
      <w:pPr>
        <w:spacing w:after="60"/>
        <w:rPr>
          <w:i/>
          <w:iCs/>
          <w:color w:val="4F81BD" w:themeColor="accent1"/>
        </w:rPr>
      </w:pPr>
      <w:r w:rsidRPr="00882808">
        <w:rPr>
          <w:i/>
          <w:iCs/>
          <w:color w:val="4F81BD" w:themeColor="accent1"/>
        </w:rPr>
        <w:lastRenderedPageBreak/>
        <w:t xml:space="preserve">U.2.10 </w:t>
      </w:r>
      <w:r w:rsidR="005A73D1" w:rsidRPr="00882808">
        <w:rPr>
          <w:i/>
          <w:iCs/>
          <w:color w:val="4F81BD" w:themeColor="accent1"/>
        </w:rPr>
        <w:tab/>
      </w:r>
      <w:r w:rsidRPr="00882808">
        <w:rPr>
          <w:i/>
          <w:iCs/>
          <w:color w:val="4F81BD" w:themeColor="accent1"/>
        </w:rPr>
        <w:t>Dosing vessels - Temperature monitoring</w:t>
      </w:r>
      <w:r w:rsidR="00A45BB9" w:rsidRPr="00882808">
        <w:rPr>
          <w:i/>
          <w:iCs/>
          <w:color w:val="4F81BD" w:themeColor="accent1"/>
        </w:rPr>
        <w:t xml:space="preserve"> (PGS 8:2011 reference: reg 6.3.9)</w:t>
      </w:r>
    </w:p>
    <w:p w14:paraId="40631BB4" w14:textId="77777777" w:rsidR="0057117A" w:rsidRDefault="003A29F2" w:rsidP="002F3574">
      <w:pPr>
        <w:spacing w:after="0"/>
        <w:ind w:left="709"/>
        <w:jc w:val="both"/>
        <w:rPr>
          <w:color w:val="4F81BD" w:themeColor="accent1"/>
        </w:rPr>
      </w:pPr>
      <w:r w:rsidRPr="00882808">
        <w:rPr>
          <w:color w:val="4F81BD" w:themeColor="accent1"/>
        </w:rPr>
        <w:t xml:space="preserve">M81 (Dosing vessels - Temperature monitoring) specifies that dosing vessels for organic peroxides with a Tc lower than 30°C must have at least two temperature sensors with alarm function, one of which is independent of the refrigeration </w:t>
      </w:r>
      <w:r w:rsidR="00A45BB9" w:rsidRPr="00882808">
        <w:rPr>
          <w:color w:val="4F81BD" w:themeColor="accent1"/>
        </w:rPr>
        <w:t>unit</w:t>
      </w:r>
      <w:r w:rsidRPr="00882808">
        <w:rPr>
          <w:color w:val="4F81BD" w:themeColor="accent1"/>
        </w:rPr>
        <w:t xml:space="preserve"> control</w:t>
      </w:r>
      <w:r w:rsidR="00A45BB9" w:rsidRPr="00882808">
        <w:rPr>
          <w:color w:val="4F81BD" w:themeColor="accent1"/>
        </w:rPr>
        <w:t>ler</w:t>
      </w:r>
      <w:r w:rsidRPr="00882808">
        <w:rPr>
          <w:color w:val="4F81BD" w:themeColor="accent1"/>
        </w:rPr>
        <w:t>. This obligation arises from the risk analysis.</w:t>
      </w:r>
      <w:r w:rsidR="0057117A">
        <w:rPr>
          <w:color w:val="4F81BD" w:themeColor="accent1"/>
        </w:rPr>
        <w:t xml:space="preserve"> </w:t>
      </w:r>
      <w:r w:rsidRPr="00882808">
        <w:rPr>
          <w:color w:val="4F81BD" w:themeColor="accent1"/>
        </w:rPr>
        <w:t xml:space="preserve">In PGS 8:2011, the second temperature sensor is only required for dosing vessels for organic peroxides with a Tc of 20°C or lower. </w:t>
      </w:r>
    </w:p>
    <w:p w14:paraId="4F4D312A" w14:textId="46D3298F" w:rsidR="00B05EA6" w:rsidRDefault="003A29F2" w:rsidP="002F3574">
      <w:pPr>
        <w:spacing w:after="0"/>
        <w:ind w:left="709"/>
        <w:jc w:val="both"/>
        <w:rPr>
          <w:color w:val="4F81BD" w:themeColor="accent1"/>
        </w:rPr>
      </w:pPr>
      <w:r w:rsidRPr="00882808">
        <w:rPr>
          <w:color w:val="4F81BD" w:themeColor="accent1"/>
        </w:rPr>
        <w:t>For companies with dosing vessels, this may mean an adjustment of the temperature monitoring system. An implementation period has therefore been included in Appendix V for this measure</w:t>
      </w:r>
      <w:r w:rsidR="0057117A">
        <w:rPr>
          <w:color w:val="4F81BD" w:themeColor="accent1"/>
        </w:rPr>
        <w:t xml:space="preserve"> </w:t>
      </w:r>
      <w:r w:rsidR="0057117A">
        <w:rPr>
          <w:color w:val="4F81BD" w:themeColor="accent1"/>
          <w:vertAlign w:val="superscript"/>
        </w:rPr>
        <w:t>7)</w:t>
      </w:r>
      <w:r w:rsidRPr="00882808">
        <w:rPr>
          <w:color w:val="4F81BD" w:themeColor="accent1"/>
        </w:rPr>
        <w:t>.</w:t>
      </w:r>
    </w:p>
    <w:p w14:paraId="1F0FB45E" w14:textId="77777777" w:rsidR="002F3574" w:rsidRPr="00882808" w:rsidRDefault="002F3574" w:rsidP="002F3574">
      <w:pPr>
        <w:spacing w:after="0"/>
        <w:ind w:left="709"/>
        <w:jc w:val="both"/>
        <w:rPr>
          <w:color w:val="4F81BD" w:themeColor="accent1"/>
        </w:rPr>
      </w:pPr>
    </w:p>
    <w:p w14:paraId="0514D43C" w14:textId="6E59CD72" w:rsidR="003A29F2" w:rsidRPr="00882808" w:rsidRDefault="003A29F2" w:rsidP="00583E82">
      <w:pPr>
        <w:spacing w:after="60"/>
        <w:rPr>
          <w:i/>
          <w:iCs/>
          <w:color w:val="4F81BD" w:themeColor="accent1"/>
        </w:rPr>
      </w:pPr>
      <w:r w:rsidRPr="00882808">
        <w:rPr>
          <w:i/>
          <w:iCs/>
          <w:color w:val="4F81BD" w:themeColor="accent1"/>
        </w:rPr>
        <w:t xml:space="preserve">U.2.11 </w:t>
      </w:r>
      <w:r w:rsidR="002717E2" w:rsidRPr="00882808">
        <w:rPr>
          <w:i/>
          <w:iCs/>
          <w:color w:val="4F81BD" w:themeColor="accent1"/>
        </w:rPr>
        <w:tab/>
      </w:r>
      <w:r w:rsidRPr="00882808">
        <w:rPr>
          <w:i/>
          <w:iCs/>
          <w:color w:val="4F81BD" w:themeColor="accent1"/>
        </w:rPr>
        <w:t>Dosing vessels - Automatic reporting high temperature alarm</w:t>
      </w:r>
      <w:r w:rsidR="00A45BB9" w:rsidRPr="00882808">
        <w:rPr>
          <w:i/>
          <w:iCs/>
          <w:color w:val="4F81BD" w:themeColor="accent1"/>
        </w:rPr>
        <w:t xml:space="preserve"> (PGS 8:2011 reference: </w:t>
      </w:r>
      <w:r w:rsidR="00A45BB9" w:rsidRPr="00882808">
        <w:rPr>
          <w:rFonts w:cstheme="minorHAnsi"/>
          <w:i/>
          <w:iCs/>
          <w:color w:val="4F81BD" w:themeColor="accent1"/>
        </w:rPr>
        <w:t>§ 6.3)</w:t>
      </w:r>
    </w:p>
    <w:p w14:paraId="3012EC51" w14:textId="77777777" w:rsidR="0057117A" w:rsidRDefault="003A29F2" w:rsidP="002F3574">
      <w:pPr>
        <w:spacing w:after="0"/>
        <w:ind w:left="709"/>
        <w:jc w:val="both"/>
        <w:rPr>
          <w:color w:val="4F81BD" w:themeColor="accent1"/>
        </w:rPr>
      </w:pPr>
      <w:r w:rsidRPr="00882808">
        <w:rPr>
          <w:color w:val="4F81BD" w:themeColor="accent1"/>
        </w:rPr>
        <w:t xml:space="preserve">M82 (Dosing vessels - Temperature alarm) indicates that the high temperature alarm for dosing vessels should report automatically according to measure M25 (Temperature alarm - Automatic reporting). This obligation arises from the risk analysis. In PGS 8:2011 this measure is not included for dosing vessels. </w:t>
      </w:r>
    </w:p>
    <w:p w14:paraId="525CA402" w14:textId="54F5C53B" w:rsidR="003A29F2" w:rsidRDefault="003A29F2" w:rsidP="002F3574">
      <w:pPr>
        <w:spacing w:after="0"/>
        <w:ind w:left="709"/>
        <w:jc w:val="both"/>
        <w:rPr>
          <w:color w:val="4F81BD" w:themeColor="accent1"/>
        </w:rPr>
      </w:pPr>
      <w:r w:rsidRPr="00882808">
        <w:rPr>
          <w:color w:val="4F81BD" w:themeColor="accent1"/>
        </w:rPr>
        <w:t>For companies with dosing vessels, this may mean an adjustment of the alarm system. An implementation period has therefore been included in Appendix V for this measure</w:t>
      </w:r>
      <w:r w:rsidR="0057117A">
        <w:rPr>
          <w:color w:val="4F81BD" w:themeColor="accent1"/>
        </w:rPr>
        <w:t xml:space="preserve"> </w:t>
      </w:r>
      <w:r w:rsidR="0057117A">
        <w:rPr>
          <w:color w:val="4F81BD" w:themeColor="accent1"/>
          <w:vertAlign w:val="superscript"/>
        </w:rPr>
        <w:t>7)</w:t>
      </w:r>
      <w:r w:rsidRPr="00882808">
        <w:rPr>
          <w:color w:val="4F81BD" w:themeColor="accent1"/>
        </w:rPr>
        <w:t>.</w:t>
      </w:r>
    </w:p>
    <w:p w14:paraId="6DEF5189" w14:textId="77777777" w:rsidR="002F3574" w:rsidRPr="00882808" w:rsidRDefault="002F3574" w:rsidP="002F3574">
      <w:pPr>
        <w:spacing w:after="0"/>
        <w:ind w:left="709"/>
        <w:jc w:val="both"/>
        <w:rPr>
          <w:color w:val="4F81BD" w:themeColor="accent1"/>
        </w:rPr>
      </w:pPr>
    </w:p>
    <w:p w14:paraId="21ACE678" w14:textId="4C511086" w:rsidR="00113544" w:rsidRPr="00882808" w:rsidRDefault="00113544" w:rsidP="00583E82">
      <w:pPr>
        <w:spacing w:after="60"/>
        <w:rPr>
          <w:i/>
          <w:iCs/>
          <w:color w:val="4F81BD" w:themeColor="accent1"/>
        </w:rPr>
      </w:pPr>
      <w:r w:rsidRPr="00882808">
        <w:rPr>
          <w:i/>
          <w:iCs/>
          <w:color w:val="4F81BD" w:themeColor="accent1"/>
        </w:rPr>
        <w:t xml:space="preserve">U.2.12 </w:t>
      </w:r>
      <w:r w:rsidR="005522D1" w:rsidRPr="00882808">
        <w:rPr>
          <w:i/>
          <w:iCs/>
          <w:color w:val="4F81BD" w:themeColor="accent1"/>
        </w:rPr>
        <w:tab/>
      </w:r>
      <w:r w:rsidR="00A45BB9" w:rsidRPr="00882808">
        <w:rPr>
          <w:i/>
          <w:iCs/>
          <w:color w:val="4F81BD" w:themeColor="accent1"/>
        </w:rPr>
        <w:t xml:space="preserve">Operational </w:t>
      </w:r>
      <w:r w:rsidR="00100A61" w:rsidRPr="00882808">
        <w:rPr>
          <w:i/>
          <w:iCs/>
          <w:color w:val="4F81BD" w:themeColor="accent1"/>
        </w:rPr>
        <w:t>stock</w:t>
      </w:r>
      <w:r w:rsidR="00A45BB9" w:rsidRPr="00882808">
        <w:rPr>
          <w:i/>
          <w:iCs/>
          <w:color w:val="4F81BD" w:themeColor="accent1"/>
        </w:rPr>
        <w:t xml:space="preserve"> facility</w:t>
      </w:r>
      <w:r w:rsidRPr="00882808">
        <w:rPr>
          <w:i/>
          <w:iCs/>
          <w:color w:val="4F81BD" w:themeColor="accent1"/>
        </w:rPr>
        <w:t xml:space="preserve"> - Maximum quantity</w:t>
      </w:r>
      <w:r w:rsidR="00275206" w:rsidRPr="00882808">
        <w:rPr>
          <w:i/>
          <w:iCs/>
          <w:color w:val="4F81BD" w:themeColor="accent1"/>
        </w:rPr>
        <w:t xml:space="preserve"> (PGS 8:2011 reference: </w:t>
      </w:r>
      <w:r w:rsidR="00275206" w:rsidRPr="00882808">
        <w:rPr>
          <w:rFonts w:cstheme="minorHAnsi"/>
          <w:i/>
          <w:iCs/>
          <w:color w:val="4F81BD" w:themeColor="accent1"/>
        </w:rPr>
        <w:t>§ 5.8)</w:t>
      </w:r>
    </w:p>
    <w:p w14:paraId="01125AAC" w14:textId="739C565A" w:rsidR="00113544" w:rsidRPr="00882808" w:rsidRDefault="00113544" w:rsidP="002F3574">
      <w:pPr>
        <w:spacing w:after="0"/>
        <w:ind w:left="709"/>
        <w:jc w:val="both"/>
        <w:rPr>
          <w:color w:val="4F81BD" w:themeColor="accent1"/>
        </w:rPr>
      </w:pPr>
      <w:r w:rsidRPr="00882808">
        <w:rPr>
          <w:color w:val="4F81BD" w:themeColor="accent1"/>
        </w:rPr>
        <w:t>M103 (</w:t>
      </w:r>
      <w:r w:rsidR="00A45BB9" w:rsidRPr="00882808">
        <w:rPr>
          <w:color w:val="4F81BD" w:themeColor="accent1"/>
        </w:rPr>
        <w:t xml:space="preserve">Operational </w:t>
      </w:r>
      <w:r w:rsidRPr="00882808">
        <w:rPr>
          <w:color w:val="4F81BD" w:themeColor="accent1"/>
        </w:rPr>
        <w:t>stock</w:t>
      </w:r>
      <w:r w:rsidR="00A45BB9" w:rsidRPr="00882808">
        <w:rPr>
          <w:color w:val="4F81BD" w:themeColor="accent1"/>
        </w:rPr>
        <w:t xml:space="preserve"> facility</w:t>
      </w:r>
      <w:r w:rsidRPr="00882808">
        <w:rPr>
          <w:color w:val="4F81BD" w:themeColor="accent1"/>
        </w:rPr>
        <w:t xml:space="preserve"> - Maximum quantity) indicates that a</w:t>
      </w:r>
      <w:r w:rsidR="00A45BB9" w:rsidRPr="00882808">
        <w:rPr>
          <w:color w:val="4F81BD" w:themeColor="accent1"/>
        </w:rPr>
        <w:t>n operati</w:t>
      </w:r>
      <w:r w:rsidR="00275206" w:rsidRPr="00882808">
        <w:rPr>
          <w:color w:val="4F81BD" w:themeColor="accent1"/>
        </w:rPr>
        <w:t>o</w:t>
      </w:r>
      <w:r w:rsidR="00A45BB9" w:rsidRPr="00882808">
        <w:rPr>
          <w:color w:val="4F81BD" w:themeColor="accent1"/>
        </w:rPr>
        <w:t>nal</w:t>
      </w:r>
      <w:r w:rsidRPr="00882808">
        <w:rPr>
          <w:color w:val="4F81BD" w:themeColor="accent1"/>
        </w:rPr>
        <w:t xml:space="preserve"> stock</w:t>
      </w:r>
      <w:r w:rsidR="00A45BB9" w:rsidRPr="00882808">
        <w:rPr>
          <w:color w:val="4F81BD" w:themeColor="accent1"/>
        </w:rPr>
        <w:t xml:space="preserve"> facility</w:t>
      </w:r>
      <w:r w:rsidRPr="00882808">
        <w:rPr>
          <w:color w:val="4F81BD" w:themeColor="accent1"/>
        </w:rPr>
        <w:t xml:space="preserve"> must not contain more than 1</w:t>
      </w:r>
      <w:r w:rsidR="0057117A">
        <w:rPr>
          <w:color w:val="4F81BD" w:themeColor="accent1"/>
        </w:rPr>
        <w:t xml:space="preserve"> </w:t>
      </w:r>
      <w:r w:rsidRPr="00882808">
        <w:rPr>
          <w:color w:val="4F81BD" w:themeColor="accent1"/>
        </w:rPr>
        <w:t>000 kg of organic peroxides. Only type F organic peroxides are packaged in IBCs. That is why an exception has been made for one extra IBC in addition to the 1 000 kg permitted quantity. There is no maximum in PGS 8:2011. This is a tightening.</w:t>
      </w:r>
    </w:p>
    <w:p w14:paraId="16616C82" w14:textId="3ED2C1ED" w:rsidR="003A29F2" w:rsidRDefault="00113544" w:rsidP="002F3574">
      <w:pPr>
        <w:spacing w:after="0"/>
        <w:ind w:left="709"/>
        <w:jc w:val="both"/>
        <w:rPr>
          <w:color w:val="4F81BD" w:themeColor="accent1"/>
        </w:rPr>
      </w:pPr>
      <w:r w:rsidRPr="00882808">
        <w:rPr>
          <w:color w:val="4F81BD" w:themeColor="accent1"/>
        </w:rPr>
        <w:t>In practice, the amount in work stock rooms is unlikely to exceed 1</w:t>
      </w:r>
      <w:r w:rsidR="00FC3F79">
        <w:rPr>
          <w:color w:val="4F81BD" w:themeColor="accent1"/>
        </w:rPr>
        <w:t xml:space="preserve"> </w:t>
      </w:r>
      <w:r w:rsidRPr="00882808">
        <w:rPr>
          <w:color w:val="4F81BD" w:themeColor="accent1"/>
        </w:rPr>
        <w:t>000 kg. Therefore, no implementation period has been included for this measure.</w:t>
      </w:r>
    </w:p>
    <w:p w14:paraId="712F6C12" w14:textId="77777777" w:rsidR="002F3574" w:rsidRPr="00882808" w:rsidRDefault="002F3574" w:rsidP="002F3574">
      <w:pPr>
        <w:spacing w:after="0"/>
        <w:ind w:left="709"/>
        <w:jc w:val="both"/>
        <w:rPr>
          <w:color w:val="4F81BD" w:themeColor="accent1"/>
        </w:rPr>
      </w:pPr>
    </w:p>
    <w:p w14:paraId="712AC985" w14:textId="5B9D0A77" w:rsidR="00113544" w:rsidRPr="00882808" w:rsidRDefault="00113544" w:rsidP="00583E82">
      <w:pPr>
        <w:spacing w:after="60"/>
        <w:rPr>
          <w:i/>
          <w:iCs/>
          <w:color w:val="4F81BD" w:themeColor="accent1"/>
        </w:rPr>
      </w:pPr>
      <w:r w:rsidRPr="00882808">
        <w:rPr>
          <w:i/>
          <w:iCs/>
          <w:color w:val="4F81BD" w:themeColor="accent1"/>
        </w:rPr>
        <w:t xml:space="preserve">U.2.13 </w:t>
      </w:r>
      <w:r w:rsidR="005B7558" w:rsidRPr="00882808">
        <w:rPr>
          <w:i/>
          <w:iCs/>
          <w:color w:val="4F81BD" w:themeColor="accent1"/>
        </w:rPr>
        <w:tab/>
      </w:r>
      <w:r w:rsidRPr="00882808">
        <w:rPr>
          <w:i/>
          <w:iCs/>
          <w:color w:val="4F81BD" w:themeColor="accent1"/>
        </w:rPr>
        <w:t>Storage facility - Environment</w:t>
      </w:r>
    </w:p>
    <w:p w14:paraId="1181EE5A" w14:textId="3113D762" w:rsidR="00113544" w:rsidRPr="00882808" w:rsidRDefault="00113544" w:rsidP="002F3574">
      <w:pPr>
        <w:spacing w:after="0"/>
        <w:ind w:left="709"/>
        <w:jc w:val="both"/>
        <w:rPr>
          <w:color w:val="4F81BD" w:themeColor="accent1"/>
        </w:rPr>
      </w:pPr>
      <w:r w:rsidRPr="00882808">
        <w:rPr>
          <w:color w:val="4F81BD" w:themeColor="accent1"/>
        </w:rPr>
        <w:t>M57 (Storage facility - Surroundings) indicates that pallets and other combustible materials must not be within 2 m of a storage facility. This is not stated in PGS 8:2011. It's a tightening.</w:t>
      </w:r>
    </w:p>
    <w:p w14:paraId="439E05C8" w14:textId="0B9F2DC5" w:rsidR="00113544" w:rsidRDefault="00113544" w:rsidP="002F3574">
      <w:pPr>
        <w:spacing w:after="0"/>
        <w:ind w:left="709"/>
        <w:jc w:val="both"/>
        <w:rPr>
          <w:color w:val="4F81BD" w:themeColor="accent1"/>
        </w:rPr>
      </w:pPr>
      <w:r w:rsidRPr="00882808">
        <w:rPr>
          <w:color w:val="4F81BD" w:themeColor="accent1"/>
        </w:rPr>
        <w:t>In practice, in the context of good housekeeping, a company will keep the environment of a storage facility free. Therefore, no implementation period has been included for this measure.</w:t>
      </w:r>
    </w:p>
    <w:p w14:paraId="74AB9BEE" w14:textId="77777777" w:rsidR="002F3574" w:rsidRPr="00882808" w:rsidRDefault="002F3574" w:rsidP="002F3574">
      <w:pPr>
        <w:spacing w:after="0"/>
        <w:ind w:left="709"/>
        <w:jc w:val="both"/>
        <w:rPr>
          <w:color w:val="4F81BD" w:themeColor="accent1"/>
        </w:rPr>
      </w:pPr>
    </w:p>
    <w:p w14:paraId="38A63334" w14:textId="53D36F61" w:rsidR="00027577" w:rsidRPr="00882808" w:rsidRDefault="00027577" w:rsidP="00583E82">
      <w:pPr>
        <w:spacing w:after="60"/>
        <w:rPr>
          <w:i/>
          <w:iCs/>
          <w:color w:val="4F81BD" w:themeColor="accent1"/>
        </w:rPr>
      </w:pPr>
      <w:r w:rsidRPr="00882808">
        <w:rPr>
          <w:i/>
          <w:iCs/>
          <w:color w:val="4F81BD" w:themeColor="accent1"/>
        </w:rPr>
        <w:t xml:space="preserve">U.2.14 </w:t>
      </w:r>
      <w:r w:rsidR="00C47C8C" w:rsidRPr="00882808">
        <w:rPr>
          <w:i/>
          <w:iCs/>
          <w:color w:val="4F81BD" w:themeColor="accent1"/>
        </w:rPr>
        <w:tab/>
      </w:r>
      <w:r w:rsidRPr="00882808">
        <w:rPr>
          <w:i/>
          <w:iCs/>
          <w:color w:val="4F81BD" w:themeColor="accent1"/>
        </w:rPr>
        <w:t>Mixtures of organic peroxides - Determine SADT</w:t>
      </w:r>
    </w:p>
    <w:p w14:paraId="5B073552" w14:textId="341DC45A" w:rsidR="00027577" w:rsidRPr="00882808" w:rsidRDefault="00027577" w:rsidP="002F3574">
      <w:pPr>
        <w:spacing w:after="0"/>
        <w:ind w:left="709"/>
        <w:jc w:val="both"/>
        <w:rPr>
          <w:color w:val="4F81BD" w:themeColor="accent1"/>
        </w:rPr>
      </w:pPr>
      <w:r w:rsidRPr="00882808">
        <w:rPr>
          <w:color w:val="4F81BD" w:themeColor="accent1"/>
        </w:rPr>
        <w:t xml:space="preserve">M45 (Organic </w:t>
      </w:r>
      <w:r w:rsidR="00FC3F79">
        <w:rPr>
          <w:color w:val="4F81BD" w:themeColor="accent1"/>
        </w:rPr>
        <w:t>p</w:t>
      </w:r>
      <w:r w:rsidRPr="00882808">
        <w:rPr>
          <w:color w:val="4F81BD" w:themeColor="accent1"/>
        </w:rPr>
        <w:t xml:space="preserve">eroxide </w:t>
      </w:r>
      <w:r w:rsidR="00FC3F79">
        <w:rPr>
          <w:color w:val="4F81BD" w:themeColor="accent1"/>
        </w:rPr>
        <w:t>m</w:t>
      </w:r>
      <w:r w:rsidRPr="00882808">
        <w:rPr>
          <w:color w:val="4F81BD" w:themeColor="accent1"/>
        </w:rPr>
        <w:t>ixtures - Determine SADT) indicates that prepared mixtures should be used as soon as possible. If this is not possible, the SADT must be determined so that it is clear at what temperature the mixture should be stored. This is a new measure resulting from the risk analysis.</w:t>
      </w:r>
    </w:p>
    <w:p w14:paraId="2E2F16EF" w14:textId="1BAE24F7" w:rsidR="00113544" w:rsidRDefault="00027577" w:rsidP="002F3574">
      <w:pPr>
        <w:spacing w:after="0"/>
        <w:ind w:left="709"/>
        <w:jc w:val="both"/>
        <w:rPr>
          <w:color w:val="4F81BD" w:themeColor="accent1"/>
        </w:rPr>
      </w:pPr>
      <w:r w:rsidRPr="00882808">
        <w:rPr>
          <w:color w:val="4F81BD" w:themeColor="accent1"/>
        </w:rPr>
        <w:t>This measure does not require any structural modifications or other measures that take a lot of time from an economic or practical point of view. Therefore, no implementation period has been included for this measure.</w:t>
      </w:r>
    </w:p>
    <w:p w14:paraId="66EA7D8E" w14:textId="4CDFAD0B" w:rsidR="0057117A" w:rsidRDefault="0057117A" w:rsidP="002F3574">
      <w:pPr>
        <w:spacing w:after="0"/>
        <w:ind w:left="709"/>
        <w:jc w:val="both"/>
        <w:rPr>
          <w:color w:val="4F81BD" w:themeColor="accent1"/>
        </w:rPr>
      </w:pPr>
    </w:p>
    <w:p w14:paraId="3BFE4D86" w14:textId="25F0CEF2" w:rsidR="0057117A" w:rsidRDefault="0057117A" w:rsidP="002F3574">
      <w:pPr>
        <w:spacing w:after="0"/>
        <w:ind w:left="709"/>
        <w:jc w:val="both"/>
        <w:rPr>
          <w:color w:val="4F81BD" w:themeColor="accent1"/>
        </w:rPr>
      </w:pPr>
    </w:p>
    <w:p w14:paraId="223FD569" w14:textId="05EAD92A" w:rsidR="0057117A" w:rsidRDefault="0057117A" w:rsidP="002F3574">
      <w:pPr>
        <w:spacing w:after="0"/>
        <w:ind w:left="709"/>
        <w:jc w:val="both"/>
        <w:rPr>
          <w:color w:val="4F81BD" w:themeColor="accent1"/>
        </w:rPr>
      </w:pPr>
    </w:p>
    <w:p w14:paraId="1D99E6B1" w14:textId="3433E440" w:rsidR="0057117A" w:rsidRDefault="0057117A" w:rsidP="002F3574">
      <w:pPr>
        <w:spacing w:after="0"/>
        <w:ind w:left="709"/>
        <w:jc w:val="both"/>
        <w:rPr>
          <w:color w:val="4F81BD" w:themeColor="accent1"/>
        </w:rPr>
      </w:pPr>
    </w:p>
    <w:p w14:paraId="45C83DD2" w14:textId="2DF88193" w:rsidR="0057117A" w:rsidRDefault="0057117A" w:rsidP="002F3574">
      <w:pPr>
        <w:spacing w:after="0"/>
        <w:ind w:left="709"/>
        <w:jc w:val="both"/>
        <w:rPr>
          <w:color w:val="4F81BD" w:themeColor="accent1"/>
        </w:rPr>
      </w:pPr>
    </w:p>
    <w:p w14:paraId="6F1B2961" w14:textId="77777777" w:rsidR="0057117A" w:rsidRDefault="0057117A" w:rsidP="0057117A">
      <w:pPr>
        <w:spacing w:after="0"/>
        <w:ind w:left="709"/>
        <w:rPr>
          <w:i/>
          <w:iCs/>
          <w:color w:val="4F81BD" w:themeColor="accent1"/>
          <w:vertAlign w:val="superscript"/>
        </w:rPr>
      </w:pPr>
      <w:r>
        <w:rPr>
          <w:noProof/>
          <w:color w:val="4F81BD" w:themeColor="accent1"/>
        </w:rPr>
        <mc:AlternateContent>
          <mc:Choice Requires="wps">
            <w:drawing>
              <wp:anchor distT="0" distB="0" distL="114300" distR="114300" simplePos="0" relativeHeight="251667456" behindDoc="0" locked="0" layoutInCell="1" allowOverlap="1" wp14:anchorId="68637585" wp14:editId="0323E631">
                <wp:simplePos x="0" y="0"/>
                <wp:positionH relativeFrom="column">
                  <wp:posOffset>7620</wp:posOffset>
                </wp:positionH>
                <wp:positionV relativeFrom="paragraph">
                  <wp:posOffset>152400</wp:posOffset>
                </wp:positionV>
                <wp:extent cx="1021080" cy="0"/>
                <wp:effectExtent l="0" t="0" r="0" b="0"/>
                <wp:wrapSquare wrapText="bothSides"/>
                <wp:docPr id="7" name="Straight Connector 7"/>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A70AC"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pt,12pt" to="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" strokecolor="#4579b8 [3044]">
                <w10:wrap type="square"/>
              </v:line>
            </w:pict>
          </mc:Fallback>
        </mc:AlternateContent>
      </w:r>
    </w:p>
    <w:p w14:paraId="000F5CB0" w14:textId="3D37FCAF" w:rsidR="0057117A" w:rsidRDefault="0057117A" w:rsidP="007532E2">
      <w:pPr>
        <w:spacing w:after="0"/>
        <w:rPr>
          <w:color w:val="4F81BD" w:themeColor="accent1"/>
        </w:rPr>
      </w:pPr>
      <w:r>
        <w:rPr>
          <w:i/>
          <w:iCs/>
          <w:color w:val="4F81BD" w:themeColor="accent1"/>
          <w:vertAlign w:val="superscript"/>
        </w:rPr>
        <w:t>7</w:t>
      </w:r>
      <w:r w:rsidRPr="00403942">
        <w:rPr>
          <w:i/>
          <w:iCs/>
          <w:color w:val="4F81BD" w:themeColor="accent1"/>
          <w:vertAlign w:val="superscript"/>
        </w:rPr>
        <w:t>)</w:t>
      </w:r>
      <w:r>
        <w:rPr>
          <w:i/>
          <w:iCs/>
          <w:color w:val="4F81BD" w:themeColor="accent1"/>
        </w:rPr>
        <w:t xml:space="preserve"> Implementation period: 18 months from April 1, 2020</w:t>
      </w:r>
      <w:r w:rsidRPr="00403942">
        <w:rPr>
          <w:i/>
          <w:iCs/>
          <w:color w:val="4F81BD" w:themeColor="accent1"/>
        </w:rPr>
        <w:t>.</w:t>
      </w:r>
    </w:p>
    <w:p w14:paraId="318FA78A" w14:textId="77777777" w:rsidR="0057117A" w:rsidRPr="00882808" w:rsidRDefault="0057117A" w:rsidP="002F3574">
      <w:pPr>
        <w:spacing w:after="0"/>
        <w:ind w:left="709"/>
        <w:jc w:val="both"/>
        <w:rPr>
          <w:color w:val="4F81BD" w:themeColor="accent1"/>
        </w:rPr>
      </w:pPr>
    </w:p>
    <w:p w14:paraId="7E51551B" w14:textId="1E771000" w:rsidR="00467D19" w:rsidRPr="00882808" w:rsidRDefault="00467D19" w:rsidP="00583E82">
      <w:pPr>
        <w:spacing w:after="60"/>
        <w:rPr>
          <w:i/>
          <w:iCs/>
          <w:color w:val="4F81BD" w:themeColor="accent1"/>
        </w:rPr>
      </w:pPr>
      <w:r w:rsidRPr="00882808">
        <w:rPr>
          <w:i/>
          <w:iCs/>
          <w:color w:val="4F81BD" w:themeColor="accent1"/>
        </w:rPr>
        <w:t xml:space="preserve">U.2.15 </w:t>
      </w:r>
      <w:r w:rsidR="00111D4D" w:rsidRPr="00882808">
        <w:rPr>
          <w:i/>
          <w:iCs/>
          <w:color w:val="4F81BD" w:themeColor="accent1"/>
        </w:rPr>
        <w:tab/>
      </w:r>
      <w:r w:rsidRPr="00882808">
        <w:rPr>
          <w:i/>
          <w:iCs/>
          <w:color w:val="4F81BD" w:themeColor="accent1"/>
        </w:rPr>
        <w:t>Danger zone classification</w:t>
      </w:r>
      <w:r w:rsidR="002F4908" w:rsidRPr="00882808">
        <w:rPr>
          <w:i/>
          <w:iCs/>
          <w:color w:val="4F81BD" w:themeColor="accent1"/>
        </w:rPr>
        <w:t xml:space="preserve"> (PGS 8:2011 reference: </w:t>
      </w:r>
      <w:r w:rsidR="002F4908" w:rsidRPr="00882808">
        <w:rPr>
          <w:rFonts w:cstheme="minorHAnsi"/>
          <w:i/>
          <w:iCs/>
          <w:color w:val="4F81BD" w:themeColor="accent1"/>
        </w:rPr>
        <w:t>§ 0.2.4.1)</w:t>
      </w:r>
    </w:p>
    <w:p w14:paraId="113ADBEE" w14:textId="613AA56A" w:rsidR="00467D19" w:rsidRPr="00882808" w:rsidRDefault="00467D19" w:rsidP="002F3574">
      <w:pPr>
        <w:spacing w:after="0"/>
        <w:ind w:left="709"/>
        <w:jc w:val="both"/>
        <w:rPr>
          <w:color w:val="4F81BD" w:themeColor="accent1"/>
        </w:rPr>
      </w:pPr>
      <w:r w:rsidRPr="00882808">
        <w:rPr>
          <w:color w:val="4F81BD" w:themeColor="accent1"/>
        </w:rPr>
        <w:t>M69 (Danger zone classification) indicates that a storage facility for organic peroxides must have a danger zone classification for explosion hazard. Because organic peroxides are chemically unstable substances, the directly effective rules for explosive atmospheres do not apply. However, this does not apply to the decomposition products of organic peroxides. These do fall under the directly effective rules for explosive atmospheres. This is described in PGS 8:2011, but no prescription is attached to it. The risk analysis has shown that setting a danger zone is necessary as a measure.</w:t>
      </w:r>
    </w:p>
    <w:p w14:paraId="0BF6B673" w14:textId="3B7D813E" w:rsidR="00027577" w:rsidRDefault="00467D19" w:rsidP="002F3574">
      <w:pPr>
        <w:spacing w:after="0"/>
        <w:ind w:left="709"/>
        <w:jc w:val="both"/>
        <w:rPr>
          <w:color w:val="4F81BD" w:themeColor="accent1"/>
        </w:rPr>
      </w:pPr>
      <w:r w:rsidRPr="00882808">
        <w:rPr>
          <w:color w:val="4F81BD" w:themeColor="accent1"/>
        </w:rPr>
        <w:t xml:space="preserve">In practice, a company will have </w:t>
      </w:r>
      <w:proofErr w:type="gramStart"/>
      <w:r w:rsidRPr="00882808">
        <w:rPr>
          <w:color w:val="4F81BD" w:themeColor="accent1"/>
        </w:rPr>
        <w:t>taken into account</w:t>
      </w:r>
      <w:proofErr w:type="gramEnd"/>
      <w:r w:rsidRPr="00882808">
        <w:rPr>
          <w:color w:val="4F81BD" w:themeColor="accent1"/>
        </w:rPr>
        <w:t xml:space="preserve"> a danger zone when setting up storage facilities. Therefore, no implementation period has been included for this measure.</w:t>
      </w:r>
    </w:p>
    <w:p w14:paraId="58D404CF" w14:textId="77777777" w:rsidR="002F3574" w:rsidRPr="00882808" w:rsidRDefault="002F3574" w:rsidP="002F3574">
      <w:pPr>
        <w:spacing w:after="0"/>
        <w:ind w:left="709"/>
        <w:jc w:val="both"/>
        <w:rPr>
          <w:color w:val="4F81BD" w:themeColor="accent1"/>
        </w:rPr>
      </w:pPr>
    </w:p>
    <w:p w14:paraId="05A69209" w14:textId="7A046B21" w:rsidR="00305D32" w:rsidRPr="00882808" w:rsidRDefault="00305D32" w:rsidP="00583E82">
      <w:pPr>
        <w:spacing w:after="60"/>
        <w:rPr>
          <w:i/>
          <w:iCs/>
          <w:color w:val="4F81BD" w:themeColor="accent1"/>
        </w:rPr>
      </w:pPr>
      <w:r w:rsidRPr="00882808">
        <w:rPr>
          <w:i/>
          <w:iCs/>
          <w:color w:val="4F81BD" w:themeColor="accent1"/>
        </w:rPr>
        <w:t xml:space="preserve">U.2.16 </w:t>
      </w:r>
      <w:r w:rsidR="002856D0" w:rsidRPr="00882808">
        <w:rPr>
          <w:i/>
          <w:iCs/>
          <w:color w:val="4F81BD" w:themeColor="accent1"/>
        </w:rPr>
        <w:tab/>
      </w:r>
      <w:r w:rsidR="00C3592F" w:rsidRPr="00882808">
        <w:rPr>
          <w:i/>
          <w:iCs/>
          <w:color w:val="4F81BD" w:themeColor="accent1"/>
        </w:rPr>
        <w:t>Entry</w:t>
      </w:r>
      <w:r w:rsidRPr="00882808">
        <w:rPr>
          <w:i/>
          <w:iCs/>
          <w:color w:val="4F81BD" w:themeColor="accent1"/>
        </w:rPr>
        <w:t xml:space="preserve"> control temperature </w:t>
      </w:r>
      <w:r w:rsidR="002F4908" w:rsidRPr="00882808">
        <w:rPr>
          <w:i/>
          <w:iCs/>
          <w:color w:val="4F81BD" w:themeColor="accent1"/>
        </w:rPr>
        <w:t>–</w:t>
      </w:r>
      <w:r w:rsidRPr="00882808">
        <w:rPr>
          <w:i/>
          <w:iCs/>
          <w:color w:val="4F81BD" w:themeColor="accent1"/>
        </w:rPr>
        <w:t xml:space="preserve"> </w:t>
      </w:r>
      <w:r w:rsidR="002F4908" w:rsidRPr="00882808">
        <w:rPr>
          <w:i/>
          <w:iCs/>
          <w:color w:val="4F81BD" w:themeColor="accent1"/>
        </w:rPr>
        <w:t>Non-refrigerated</w:t>
      </w:r>
      <w:r w:rsidRPr="00882808">
        <w:rPr>
          <w:i/>
          <w:iCs/>
          <w:color w:val="4F81BD" w:themeColor="accent1"/>
        </w:rPr>
        <w:t xml:space="preserve"> peroxide reception</w:t>
      </w:r>
    </w:p>
    <w:p w14:paraId="623D1FF6" w14:textId="2D29DC61" w:rsidR="00305D32" w:rsidRPr="00882808" w:rsidRDefault="00305D32" w:rsidP="002F3574">
      <w:pPr>
        <w:spacing w:after="0"/>
        <w:ind w:left="709"/>
        <w:jc w:val="both"/>
        <w:rPr>
          <w:color w:val="4F81BD" w:themeColor="accent1"/>
        </w:rPr>
      </w:pPr>
      <w:r w:rsidRPr="00882808">
        <w:rPr>
          <w:color w:val="4F81BD" w:themeColor="accent1"/>
        </w:rPr>
        <w:t>M106 (</w:t>
      </w:r>
      <w:r w:rsidR="00C3592F" w:rsidRPr="00882808">
        <w:rPr>
          <w:color w:val="4F81BD" w:themeColor="accent1"/>
        </w:rPr>
        <w:t>Entry</w:t>
      </w:r>
      <w:r w:rsidRPr="00882808">
        <w:rPr>
          <w:color w:val="4F81BD" w:themeColor="accent1"/>
        </w:rPr>
        <w:t xml:space="preserve"> control temperature - Receipt of non-refrigerated peroxide) concerns organic peroxides that do not require refrigeration and that are placed in a refrigerated storage facility. On receipt of these organic peroxides, the temperature should be monitored. This is to prevent the organic peroxides already in the storage facility from heating up. This is a new measure resulting from the risk analysis.</w:t>
      </w:r>
    </w:p>
    <w:p w14:paraId="108B294A" w14:textId="2563B6F9" w:rsidR="00467D19" w:rsidRDefault="00305D32" w:rsidP="002F3574">
      <w:pPr>
        <w:spacing w:after="0"/>
        <w:ind w:left="709"/>
        <w:jc w:val="both"/>
        <w:rPr>
          <w:color w:val="4F81BD" w:themeColor="accent1"/>
        </w:rPr>
      </w:pPr>
      <w:r w:rsidRPr="00882808">
        <w:rPr>
          <w:color w:val="4F81BD" w:themeColor="accent1"/>
        </w:rPr>
        <w:t>This measure does not require structural modifications or other measures that take a long time from an economic or practical point of view. Therefore, no implementation period has been included for this measure.</w:t>
      </w:r>
    </w:p>
    <w:p w14:paraId="7D6F32CA" w14:textId="77777777" w:rsidR="002F3574" w:rsidRPr="00882808" w:rsidRDefault="002F3574" w:rsidP="002F3574">
      <w:pPr>
        <w:spacing w:after="0"/>
        <w:ind w:left="709"/>
        <w:jc w:val="both"/>
        <w:rPr>
          <w:color w:val="4F81BD" w:themeColor="accent1"/>
        </w:rPr>
      </w:pPr>
    </w:p>
    <w:p w14:paraId="0E0F927D" w14:textId="154366B0" w:rsidR="007532E2" w:rsidRDefault="000B1EF1" w:rsidP="007532E2">
      <w:pPr>
        <w:pStyle w:val="ListParagraph"/>
        <w:spacing w:after="0"/>
        <w:ind w:left="0"/>
        <w:rPr>
          <w:color w:val="4F81BD" w:themeColor="accent1"/>
        </w:rPr>
      </w:pPr>
      <w:r w:rsidRPr="00882808">
        <w:rPr>
          <w:i/>
          <w:iCs/>
          <w:color w:val="4F81BD" w:themeColor="accent1"/>
        </w:rPr>
        <w:t xml:space="preserve">U.2.17 </w:t>
      </w:r>
      <w:r w:rsidR="002B79E2" w:rsidRPr="00882808">
        <w:rPr>
          <w:i/>
          <w:iCs/>
          <w:color w:val="4F81BD" w:themeColor="accent1"/>
        </w:rPr>
        <w:tab/>
      </w:r>
      <w:r w:rsidRPr="00882808">
        <w:rPr>
          <w:i/>
          <w:iCs/>
          <w:color w:val="4F81BD" w:themeColor="accent1"/>
        </w:rPr>
        <w:t>Change in storage classification</w:t>
      </w:r>
      <w:r w:rsidR="002F4908" w:rsidRPr="00882808">
        <w:rPr>
          <w:i/>
          <w:iCs/>
          <w:color w:val="4F81BD" w:themeColor="accent1"/>
        </w:rPr>
        <w:t xml:space="preserve"> (PGS 8:2011 reference: </w:t>
      </w:r>
      <w:r w:rsidR="002F4908" w:rsidRPr="00882808">
        <w:rPr>
          <w:rFonts w:cstheme="minorHAnsi"/>
          <w:i/>
          <w:iCs/>
          <w:color w:val="4F81BD" w:themeColor="accent1"/>
        </w:rPr>
        <w:t>§</w:t>
      </w:r>
      <w:r w:rsidR="00072323" w:rsidRPr="00882808">
        <w:rPr>
          <w:rFonts w:cstheme="minorHAnsi"/>
          <w:i/>
          <w:iCs/>
          <w:color w:val="4F81BD" w:themeColor="accent1"/>
        </w:rPr>
        <w:t xml:space="preserve"> </w:t>
      </w:r>
      <w:r w:rsidR="002F4908" w:rsidRPr="00882808">
        <w:rPr>
          <w:rFonts w:cstheme="minorHAnsi"/>
          <w:i/>
          <w:iCs/>
          <w:color w:val="4F81BD" w:themeColor="accent1"/>
        </w:rPr>
        <w:t>3.4.1)</w:t>
      </w:r>
    </w:p>
    <w:p w14:paraId="2AAF5C4C" w14:textId="16D1EA20" w:rsidR="000B1EF1" w:rsidRPr="00882808" w:rsidRDefault="000B1EF1" w:rsidP="007532E2">
      <w:pPr>
        <w:pStyle w:val="ListParagraph"/>
        <w:spacing w:after="0"/>
        <w:ind w:left="709"/>
        <w:rPr>
          <w:color w:val="4F81BD" w:themeColor="accent1"/>
        </w:rPr>
      </w:pPr>
      <w:r w:rsidRPr="00882808">
        <w:rPr>
          <w:color w:val="4F81BD" w:themeColor="accent1"/>
        </w:rPr>
        <w:t>The storage classifications have changed for the following types of peroxides:</w:t>
      </w:r>
    </w:p>
    <w:p w14:paraId="603C8EB7" w14:textId="52EC7618" w:rsidR="00410D30" w:rsidRPr="00882808"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D and E with burning rate ≥ 300 kg/min: group 2 becomes group 1;</w:t>
      </w:r>
    </w:p>
    <w:p w14:paraId="544D1AC1" w14:textId="1A35CAF8" w:rsidR="00410D30" w:rsidRPr="00882808"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F with burning rate ≥ 300 kg/min: group 3 becomes group 2;</w:t>
      </w:r>
    </w:p>
    <w:p w14:paraId="5856FB26" w14:textId="6141F606" w:rsidR="00DE5F07" w:rsidRDefault="000B1EF1" w:rsidP="002F3574">
      <w:pPr>
        <w:pStyle w:val="ListParagraph"/>
        <w:numPr>
          <w:ilvl w:val="0"/>
          <w:numId w:val="3"/>
        </w:numPr>
        <w:spacing w:after="0"/>
        <w:ind w:left="1134" w:hanging="284"/>
        <w:jc w:val="both"/>
        <w:rPr>
          <w:color w:val="4F81BD" w:themeColor="accent1"/>
        </w:rPr>
      </w:pPr>
      <w:r w:rsidRPr="00882808">
        <w:rPr>
          <w:color w:val="4F81BD" w:themeColor="accent1"/>
        </w:rPr>
        <w:t>Type F with burning rate 60 kg/min - 300 kg/min: group 3 becomes group 2.</w:t>
      </w:r>
    </w:p>
    <w:p w14:paraId="438473F5" w14:textId="77777777" w:rsidR="002F3574" w:rsidRPr="002F3574" w:rsidRDefault="002F3574" w:rsidP="002F3574">
      <w:pPr>
        <w:spacing w:after="0"/>
        <w:ind w:left="709"/>
        <w:jc w:val="both"/>
        <w:rPr>
          <w:color w:val="4F81BD" w:themeColor="accent1"/>
        </w:rPr>
      </w:pPr>
    </w:p>
    <w:p w14:paraId="77A2FAC2" w14:textId="464C70EB" w:rsidR="00894FAA" w:rsidRPr="00882808" w:rsidRDefault="00894FAA" w:rsidP="00583E82">
      <w:pPr>
        <w:spacing w:after="60"/>
        <w:rPr>
          <w:i/>
          <w:iCs/>
          <w:color w:val="4F81BD" w:themeColor="accent1"/>
        </w:rPr>
      </w:pPr>
      <w:r w:rsidRPr="00882808">
        <w:rPr>
          <w:i/>
          <w:iCs/>
          <w:color w:val="4F81BD" w:themeColor="accent1"/>
        </w:rPr>
        <w:t xml:space="preserve">U.2.18 </w:t>
      </w:r>
      <w:r w:rsidR="00F40919" w:rsidRPr="00882808">
        <w:rPr>
          <w:i/>
          <w:iCs/>
          <w:color w:val="4F81BD" w:themeColor="accent1"/>
        </w:rPr>
        <w:tab/>
      </w:r>
      <w:r w:rsidRPr="00882808">
        <w:rPr>
          <w:i/>
          <w:iCs/>
          <w:color w:val="4F81BD" w:themeColor="accent1"/>
        </w:rPr>
        <w:t>Use of ADR and GHS pictograms</w:t>
      </w:r>
      <w:r w:rsidR="00072323" w:rsidRPr="00882808">
        <w:rPr>
          <w:i/>
          <w:iCs/>
          <w:color w:val="4F81BD" w:themeColor="accent1"/>
        </w:rPr>
        <w:t xml:space="preserve"> (PGS 8:2011 reference: </w:t>
      </w:r>
      <w:r w:rsidR="00072323" w:rsidRPr="00882808">
        <w:rPr>
          <w:rFonts w:cstheme="minorHAnsi"/>
          <w:i/>
          <w:iCs/>
          <w:color w:val="4F81BD" w:themeColor="accent1"/>
        </w:rPr>
        <w:t>§ 5.3)</w:t>
      </w:r>
    </w:p>
    <w:p w14:paraId="2D61912E" w14:textId="050C6836" w:rsidR="000B1EF1" w:rsidRDefault="00894FAA" w:rsidP="002F3574">
      <w:pPr>
        <w:spacing w:after="0"/>
        <w:ind w:left="709"/>
        <w:jc w:val="both"/>
        <w:rPr>
          <w:color w:val="4F81BD" w:themeColor="accent1"/>
        </w:rPr>
      </w:pPr>
      <w:r w:rsidRPr="00882808">
        <w:rPr>
          <w:color w:val="4F81BD" w:themeColor="accent1"/>
        </w:rPr>
        <w:t xml:space="preserve">M75 (Organic peroxides </w:t>
      </w:r>
      <w:r w:rsidR="00072323" w:rsidRPr="00882808">
        <w:rPr>
          <w:color w:val="4F81BD" w:themeColor="accent1"/>
        </w:rPr>
        <w:t>–</w:t>
      </w:r>
      <w:r w:rsidRPr="00882808">
        <w:rPr>
          <w:color w:val="4F81BD" w:themeColor="accent1"/>
        </w:rPr>
        <w:t xml:space="preserve"> </w:t>
      </w:r>
      <w:r w:rsidR="00072323" w:rsidRPr="00882808">
        <w:rPr>
          <w:color w:val="4F81BD" w:themeColor="accent1"/>
        </w:rPr>
        <w:t>Safety signs</w:t>
      </w:r>
      <w:r w:rsidRPr="00882808">
        <w:rPr>
          <w:color w:val="4F81BD" w:themeColor="accent1"/>
        </w:rPr>
        <w:t xml:space="preserve">) concerns the </w:t>
      </w:r>
      <w:r w:rsidR="00072323" w:rsidRPr="00882808">
        <w:rPr>
          <w:color w:val="4F81BD" w:themeColor="accent1"/>
        </w:rPr>
        <w:t xml:space="preserve">safety signs </w:t>
      </w:r>
      <w:r w:rsidRPr="00882808">
        <w:rPr>
          <w:color w:val="4F81BD" w:themeColor="accent1"/>
        </w:rPr>
        <w:t>required for the storage of organic peroxides. The use of ADR pictograms is required, but only in addition to the required GHS pictograms. This is a change from PGS8:2011.</w:t>
      </w:r>
    </w:p>
    <w:p w14:paraId="72F535F9" w14:textId="77777777" w:rsidR="002F3574" w:rsidRPr="00882808" w:rsidRDefault="002F3574" w:rsidP="002F3574">
      <w:pPr>
        <w:spacing w:after="0"/>
        <w:ind w:left="709"/>
        <w:jc w:val="both"/>
        <w:rPr>
          <w:color w:val="4F81BD" w:themeColor="accent1"/>
        </w:rPr>
      </w:pPr>
    </w:p>
    <w:p w14:paraId="6BFC7784" w14:textId="3A04F813" w:rsidR="002733B4" w:rsidRPr="00882808" w:rsidRDefault="002733B4" w:rsidP="00583E82">
      <w:pPr>
        <w:spacing w:after="60"/>
        <w:rPr>
          <w:b/>
          <w:bCs/>
          <w:color w:val="4F81BD" w:themeColor="accent1"/>
          <w:sz w:val="24"/>
          <w:szCs w:val="24"/>
        </w:rPr>
      </w:pPr>
      <w:r w:rsidRPr="00882808">
        <w:rPr>
          <w:b/>
          <w:bCs/>
          <w:color w:val="4F81BD" w:themeColor="accent1"/>
          <w:sz w:val="24"/>
          <w:szCs w:val="24"/>
        </w:rPr>
        <w:t xml:space="preserve">U.3 </w:t>
      </w:r>
      <w:r w:rsidR="0005385C" w:rsidRPr="00882808">
        <w:rPr>
          <w:b/>
          <w:bCs/>
          <w:color w:val="4F81BD" w:themeColor="accent1"/>
          <w:sz w:val="24"/>
          <w:szCs w:val="24"/>
        </w:rPr>
        <w:tab/>
      </w:r>
      <w:r w:rsidRPr="00882808">
        <w:rPr>
          <w:b/>
          <w:bCs/>
          <w:color w:val="4F81BD" w:themeColor="accent1"/>
          <w:sz w:val="24"/>
          <w:szCs w:val="24"/>
        </w:rPr>
        <w:t xml:space="preserve">Measures that </w:t>
      </w:r>
      <w:r w:rsidR="004128BF" w:rsidRPr="00882808">
        <w:rPr>
          <w:b/>
          <w:bCs/>
          <w:color w:val="4F81BD" w:themeColor="accent1"/>
          <w:sz w:val="24"/>
          <w:szCs w:val="24"/>
        </w:rPr>
        <w:t xml:space="preserve">were </w:t>
      </w:r>
      <w:r w:rsidR="00346656" w:rsidRPr="00882808">
        <w:rPr>
          <w:b/>
          <w:bCs/>
          <w:color w:val="4F81BD" w:themeColor="accent1"/>
          <w:sz w:val="24"/>
          <w:szCs w:val="24"/>
        </w:rPr>
        <w:t>deleted</w:t>
      </w:r>
    </w:p>
    <w:p w14:paraId="4F81E70F" w14:textId="0CCDCC72" w:rsidR="002733B4" w:rsidRPr="00882808" w:rsidRDefault="002733B4" w:rsidP="002F3574">
      <w:pPr>
        <w:spacing w:after="0"/>
        <w:jc w:val="both"/>
        <w:rPr>
          <w:color w:val="4F81BD" w:themeColor="accent1"/>
        </w:rPr>
      </w:pPr>
      <w:r w:rsidRPr="00882808">
        <w:rPr>
          <w:color w:val="4F81BD" w:themeColor="accent1"/>
        </w:rPr>
        <w:t xml:space="preserve">PGS 8:2011 contains </w:t>
      </w:r>
      <w:proofErr w:type="gramStart"/>
      <w:r w:rsidRPr="00882808">
        <w:rPr>
          <w:color w:val="4F81BD" w:themeColor="accent1"/>
        </w:rPr>
        <w:t>a number of</w:t>
      </w:r>
      <w:proofErr w:type="gramEnd"/>
      <w:r w:rsidRPr="00882808">
        <w:rPr>
          <w:color w:val="4F81BD" w:themeColor="accent1"/>
        </w:rPr>
        <w:t xml:space="preserve"> measures that are no longer included in PGS 8:2020. The risk analysis and assessment of this PGS have shown that these are not necessary. It is also possible that these measures have now been laid down in legislation or are considered good practice. The most important measures not included are:</w:t>
      </w:r>
    </w:p>
    <w:p w14:paraId="382DD39B" w14:textId="6E479D8F" w:rsidR="00F52B80"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5C37A6" w:rsidRPr="00882808">
        <w:rPr>
          <w:color w:val="4F81BD" w:themeColor="accent1"/>
        </w:rPr>
        <w:t>–</w:t>
      </w:r>
      <w:r w:rsidRPr="00882808">
        <w:rPr>
          <w:color w:val="4F81BD" w:themeColor="accent1"/>
        </w:rPr>
        <w:t xml:space="preserve"> § 4.6.4: Certification of an U</w:t>
      </w:r>
      <w:r w:rsidR="008529B8" w:rsidRPr="00882808">
        <w:rPr>
          <w:color w:val="4F81BD" w:themeColor="accent1"/>
        </w:rPr>
        <w:t>PD</w:t>
      </w:r>
      <w:r w:rsidR="007532E2">
        <w:rPr>
          <w:color w:val="4F81BD" w:themeColor="accent1"/>
        </w:rPr>
        <w:t xml:space="preserve"> </w:t>
      </w:r>
      <w:r w:rsidR="007532E2">
        <w:rPr>
          <w:color w:val="4F81BD" w:themeColor="accent1"/>
          <w:vertAlign w:val="superscript"/>
        </w:rPr>
        <w:t>8)</w:t>
      </w:r>
      <w:r w:rsidRPr="00882808">
        <w:rPr>
          <w:color w:val="4F81BD" w:themeColor="accent1"/>
        </w:rPr>
        <w:t xml:space="preserve">. In PGS 8:2020, the mandatory certification has expired. However, the </w:t>
      </w:r>
      <w:r w:rsidR="008529B8" w:rsidRPr="00882808">
        <w:rPr>
          <w:color w:val="4F81BD" w:themeColor="accent1"/>
        </w:rPr>
        <w:t>UPD</w:t>
      </w:r>
      <w:r w:rsidRPr="00882808">
        <w:rPr>
          <w:color w:val="4F81BD" w:themeColor="accent1"/>
        </w:rPr>
        <w:t xml:space="preserve"> must be approved by the competent authority (see M62: Firefighting - U</w:t>
      </w:r>
      <w:r w:rsidR="008529B8" w:rsidRPr="00882808">
        <w:rPr>
          <w:color w:val="4F81BD" w:themeColor="accent1"/>
        </w:rPr>
        <w:t>PD</w:t>
      </w:r>
      <w:r w:rsidRPr="00882808">
        <w:rPr>
          <w:color w:val="4F81BD" w:themeColor="accent1"/>
        </w:rPr>
        <w:t>).</w:t>
      </w:r>
    </w:p>
    <w:p w14:paraId="127D3C3B" w14:textId="3265E6B7" w:rsidR="00785A9C"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072323" w:rsidRPr="00882808">
        <w:rPr>
          <w:color w:val="4F81BD" w:themeColor="accent1"/>
        </w:rPr>
        <w:t>–</w:t>
      </w:r>
      <w:r w:rsidRPr="00882808">
        <w:rPr>
          <w:color w:val="4F81BD" w:themeColor="accent1"/>
        </w:rPr>
        <w:t xml:space="preserve"> </w:t>
      </w:r>
      <w:r w:rsidR="00072323" w:rsidRPr="00882808">
        <w:rPr>
          <w:color w:val="4F81BD" w:themeColor="accent1"/>
        </w:rPr>
        <w:t xml:space="preserve">reg </w:t>
      </w:r>
      <w:r w:rsidRPr="00882808">
        <w:rPr>
          <w:color w:val="4F81BD" w:themeColor="accent1"/>
        </w:rPr>
        <w:t xml:space="preserve">5.5.13: This states that fire extinguishers must be located within 15 m of a storage facility. This distance is no longer mentioned in PGS 8:2020. The distance should be </w:t>
      </w:r>
      <w:r w:rsidR="007F53C3" w:rsidRPr="00882808">
        <w:rPr>
          <w:color w:val="4F81BD" w:themeColor="accent1"/>
        </w:rPr>
        <w:t>tuned in</w:t>
      </w:r>
      <w:r w:rsidRPr="00882808">
        <w:rPr>
          <w:color w:val="4F81BD" w:themeColor="accent1"/>
        </w:rPr>
        <w:t xml:space="preserve"> to the environment of the storage facility. The point is that a starting fire in the area should be extinguished.</w:t>
      </w:r>
    </w:p>
    <w:p w14:paraId="67F36B45" w14:textId="70042FBB" w:rsidR="007532E2" w:rsidRPr="007532E2" w:rsidRDefault="007532E2" w:rsidP="007532E2">
      <w:pPr>
        <w:spacing w:after="0"/>
        <w:rPr>
          <w:i/>
          <w:iCs/>
          <w:color w:val="4F81BD" w:themeColor="accent1"/>
          <w:vertAlign w:val="superscript"/>
        </w:rPr>
      </w:pPr>
      <w:r>
        <w:rPr>
          <w:noProof/>
        </w:rPr>
        <mc:AlternateContent>
          <mc:Choice Requires="wps">
            <w:drawing>
              <wp:anchor distT="0" distB="0" distL="114300" distR="114300" simplePos="0" relativeHeight="251669504" behindDoc="0" locked="0" layoutInCell="1" allowOverlap="1" wp14:anchorId="129CA69D" wp14:editId="601C5C88">
                <wp:simplePos x="0" y="0"/>
                <wp:positionH relativeFrom="column">
                  <wp:posOffset>7620</wp:posOffset>
                </wp:positionH>
                <wp:positionV relativeFrom="paragraph">
                  <wp:posOffset>152400</wp:posOffset>
                </wp:positionV>
                <wp:extent cx="1021080" cy="0"/>
                <wp:effectExtent l="0" t="0" r="0" b="0"/>
                <wp:wrapSquare wrapText="bothSides"/>
                <wp:docPr id="8" name="Straight Connector 8"/>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FE622"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12pt" to="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" strokecolor="#4579b8 [3044]">
                <w10:wrap type="square"/>
              </v:line>
            </w:pict>
          </mc:Fallback>
        </mc:AlternateContent>
      </w:r>
    </w:p>
    <w:p w14:paraId="4323CA8C" w14:textId="77777777" w:rsidR="005C37A6" w:rsidRDefault="007532E2" w:rsidP="005C37A6">
      <w:pPr>
        <w:spacing w:after="0"/>
        <w:rPr>
          <w:i/>
          <w:iCs/>
          <w:color w:val="4F81BD" w:themeColor="accent1"/>
        </w:rPr>
      </w:pPr>
      <w:r>
        <w:rPr>
          <w:i/>
          <w:iCs/>
          <w:color w:val="4F81BD" w:themeColor="accent1"/>
          <w:vertAlign w:val="superscript"/>
        </w:rPr>
        <w:t>8</w:t>
      </w:r>
      <w:r w:rsidRPr="007532E2">
        <w:rPr>
          <w:i/>
          <w:iCs/>
          <w:color w:val="4F81BD" w:themeColor="accent1"/>
          <w:vertAlign w:val="superscript"/>
        </w:rPr>
        <w:t>)</w:t>
      </w:r>
      <w:r w:rsidRPr="007532E2">
        <w:rPr>
          <w:i/>
          <w:iCs/>
          <w:color w:val="4F81BD" w:themeColor="accent1"/>
        </w:rPr>
        <w:t xml:space="preserve"> </w:t>
      </w:r>
      <w:r w:rsidR="005C37A6">
        <w:rPr>
          <w:i/>
          <w:iCs/>
          <w:color w:val="4F81BD" w:themeColor="accent1"/>
        </w:rPr>
        <w:t xml:space="preserve">UPD </w:t>
      </w:r>
      <w:r w:rsidRPr="00882808">
        <w:rPr>
          <w:i/>
          <w:iCs/>
          <w:color w:val="4F81BD" w:themeColor="accent1"/>
        </w:rPr>
        <w:t>(</w:t>
      </w:r>
      <w:proofErr w:type="spellStart"/>
      <w:r w:rsidRPr="00882808">
        <w:rPr>
          <w:i/>
          <w:iCs/>
          <w:color w:val="4F81BD" w:themeColor="accent1"/>
        </w:rPr>
        <w:t>Uitganspuntendocument</w:t>
      </w:r>
      <w:proofErr w:type="spellEnd"/>
      <w:r w:rsidRPr="00882808">
        <w:rPr>
          <w:i/>
          <w:iCs/>
          <w:color w:val="4F81BD" w:themeColor="accent1"/>
        </w:rPr>
        <w:t>) = a principles document for fire fighting installations, a so-called</w:t>
      </w:r>
    </w:p>
    <w:p w14:paraId="78B9304D" w14:textId="637D97FE" w:rsidR="007532E2" w:rsidRPr="005C37A6" w:rsidRDefault="005C37A6" w:rsidP="005C37A6">
      <w:pPr>
        <w:spacing w:after="0"/>
        <w:rPr>
          <w:color w:val="4F81BD" w:themeColor="accent1"/>
        </w:rPr>
      </w:pPr>
      <w:r>
        <w:rPr>
          <w:i/>
          <w:iCs/>
          <w:color w:val="4F81BD" w:themeColor="accent1"/>
        </w:rPr>
        <w:t xml:space="preserve"> </w:t>
      </w:r>
      <w:r w:rsidR="007532E2" w:rsidRPr="00882808">
        <w:rPr>
          <w:i/>
          <w:iCs/>
          <w:color w:val="4F81BD" w:themeColor="accent1"/>
        </w:rPr>
        <w:t xml:space="preserve"> </w:t>
      </w:r>
      <w:r>
        <w:rPr>
          <w:i/>
          <w:iCs/>
          <w:color w:val="4F81BD" w:themeColor="accent1"/>
        </w:rPr>
        <w:t xml:space="preserve"> </w:t>
      </w:r>
      <w:proofErr w:type="spellStart"/>
      <w:r w:rsidR="007532E2" w:rsidRPr="00882808">
        <w:rPr>
          <w:i/>
          <w:iCs/>
          <w:color w:val="4F81BD" w:themeColor="accent1"/>
        </w:rPr>
        <w:t>Programme</w:t>
      </w:r>
      <w:proofErr w:type="spellEnd"/>
      <w:r w:rsidR="007532E2" w:rsidRPr="00882808">
        <w:rPr>
          <w:i/>
          <w:iCs/>
          <w:color w:val="4F81BD" w:themeColor="accent1"/>
        </w:rPr>
        <w:t xml:space="preserve"> of Requirements or Inspection</w:t>
      </w:r>
      <w:r>
        <w:rPr>
          <w:i/>
          <w:iCs/>
          <w:color w:val="4F81BD" w:themeColor="accent1"/>
        </w:rPr>
        <w:t xml:space="preserve"> plan</w:t>
      </w:r>
      <w:r w:rsidR="007532E2" w:rsidRPr="007532E2">
        <w:rPr>
          <w:i/>
          <w:iCs/>
          <w:color w:val="4F81BD" w:themeColor="accent1"/>
        </w:rPr>
        <w:t>.</w:t>
      </w:r>
    </w:p>
    <w:p w14:paraId="3C731B78" w14:textId="2B9E7E65" w:rsidR="00785A9C"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lastRenderedPageBreak/>
        <w:t xml:space="preserve">PGS 8:2011 </w:t>
      </w:r>
      <w:r w:rsidR="005C37A6" w:rsidRPr="00882808">
        <w:rPr>
          <w:color w:val="4F81BD" w:themeColor="accent1"/>
        </w:rPr>
        <w:t>–</w:t>
      </w:r>
      <w:r w:rsidRPr="00882808">
        <w:rPr>
          <w:color w:val="4F81BD" w:themeColor="accent1"/>
        </w:rPr>
        <w:t xml:space="preserve"> § 6.3: This states that dosing vessels themselves may not burn. In PGS 8:2020 the use of plastic dosing vessels, such </w:t>
      </w:r>
      <w:r w:rsidRPr="003012E3">
        <w:rPr>
          <w:color w:val="4F81BD" w:themeColor="accent1"/>
        </w:rPr>
        <w:t>as IBC</w:t>
      </w:r>
      <w:r w:rsidR="007F53C3" w:rsidRPr="003012E3">
        <w:rPr>
          <w:color w:val="4F81BD" w:themeColor="accent1"/>
        </w:rPr>
        <w:t>’</w:t>
      </w:r>
      <w:r w:rsidRPr="003012E3">
        <w:rPr>
          <w:color w:val="4F81BD" w:themeColor="accent1"/>
        </w:rPr>
        <w:t>s is allowed</w:t>
      </w:r>
      <w:r w:rsidRPr="00882808">
        <w:rPr>
          <w:color w:val="4F81BD" w:themeColor="accent1"/>
        </w:rPr>
        <w:t>.</w:t>
      </w:r>
    </w:p>
    <w:p w14:paraId="78090C36" w14:textId="43FB2832" w:rsidR="00F52B80" w:rsidRPr="00882808" w:rsidRDefault="002733B4" w:rsidP="002F3574">
      <w:pPr>
        <w:pStyle w:val="ListParagraph"/>
        <w:numPr>
          <w:ilvl w:val="0"/>
          <w:numId w:val="3"/>
        </w:numPr>
        <w:spacing w:after="0"/>
        <w:ind w:left="284" w:hanging="284"/>
        <w:jc w:val="both"/>
        <w:rPr>
          <w:color w:val="4F81BD" w:themeColor="accent1"/>
        </w:rPr>
      </w:pPr>
      <w:r w:rsidRPr="00882808">
        <w:rPr>
          <w:color w:val="4F81BD" w:themeColor="accent1"/>
        </w:rPr>
        <w:t xml:space="preserve">PGS 8:2011 </w:t>
      </w:r>
      <w:r w:rsidR="007F53C3" w:rsidRPr="00882808">
        <w:rPr>
          <w:color w:val="4F81BD" w:themeColor="accent1"/>
        </w:rPr>
        <w:t>–</w:t>
      </w:r>
      <w:r w:rsidRPr="00882808">
        <w:rPr>
          <w:color w:val="4F81BD" w:themeColor="accent1"/>
        </w:rPr>
        <w:t xml:space="preserve"> </w:t>
      </w:r>
      <w:r w:rsidR="007F53C3" w:rsidRPr="00882808">
        <w:rPr>
          <w:color w:val="4F81BD" w:themeColor="accent1"/>
        </w:rPr>
        <w:t xml:space="preserve">reg </w:t>
      </w:r>
      <w:r w:rsidRPr="00882808">
        <w:rPr>
          <w:color w:val="4F81BD" w:themeColor="accent1"/>
        </w:rPr>
        <w:t xml:space="preserve">8.1.8: This states that a company must apply the first in </w:t>
      </w:r>
      <w:r w:rsidR="007F53C3" w:rsidRPr="00882808">
        <w:rPr>
          <w:color w:val="4F81BD" w:themeColor="accent1"/>
        </w:rPr>
        <w:t xml:space="preserve">- </w:t>
      </w:r>
      <w:r w:rsidRPr="00882808">
        <w:rPr>
          <w:color w:val="4F81BD" w:themeColor="accent1"/>
        </w:rPr>
        <w:t>first out principle. This is to prevent deterioration in quality. This</w:t>
      </w:r>
      <w:r w:rsidR="00DB5996">
        <w:rPr>
          <w:color w:val="4F81BD" w:themeColor="accent1"/>
        </w:rPr>
        <w:t xml:space="preserve"> </w:t>
      </w:r>
      <w:r w:rsidRPr="00882808">
        <w:rPr>
          <w:color w:val="4F81BD" w:themeColor="accent1"/>
        </w:rPr>
        <w:t>measure is not reflected in PGS 8:2020. This principle is part of good practice, which is applied in all companies.</w:t>
      </w:r>
    </w:p>
    <w:p w14:paraId="388F8898" w14:textId="77777777" w:rsidR="00072323" w:rsidRPr="00882808" w:rsidRDefault="00072323" w:rsidP="000E1FB3">
      <w:pPr>
        <w:spacing w:after="0"/>
        <w:rPr>
          <w:color w:val="4F81BD" w:themeColor="accent1"/>
        </w:rPr>
      </w:pPr>
    </w:p>
    <w:p w14:paraId="1CC8CA20" w14:textId="52DF98C3" w:rsidR="00E07F65" w:rsidRPr="005C37A6" w:rsidRDefault="00E07F65" w:rsidP="000E1FB3">
      <w:pPr>
        <w:tabs>
          <w:tab w:val="left" w:pos="142"/>
        </w:tabs>
        <w:spacing w:after="0"/>
        <w:rPr>
          <w:color w:val="4F81BD" w:themeColor="accent1"/>
        </w:rPr>
      </w:pPr>
    </w:p>
    <w:p w14:paraId="5D5F8271" w14:textId="1A66348F" w:rsidR="002733B4" w:rsidRPr="00583E82" w:rsidRDefault="00BE56C6" w:rsidP="00583E82">
      <w:pPr>
        <w:pStyle w:val="ListParagraph"/>
        <w:numPr>
          <w:ilvl w:val="0"/>
          <w:numId w:val="14"/>
        </w:numPr>
        <w:spacing w:after="120"/>
        <w:ind w:left="357" w:hanging="357"/>
        <w:rPr>
          <w:rFonts w:cstheme="minorHAnsi"/>
          <w:color w:val="4F81BD" w:themeColor="accent1"/>
          <w:sz w:val="28"/>
          <w:szCs w:val="28"/>
          <w:u w:val="single"/>
        </w:rPr>
      </w:pPr>
      <w:bookmarkStart w:id="4" w:name="_Toc66776388"/>
      <w:r w:rsidRPr="00583E82">
        <w:rPr>
          <w:rStyle w:val="Heading1Char"/>
          <w:rFonts w:asciiTheme="minorHAnsi" w:hAnsiTheme="minorHAnsi" w:cstheme="minorHAnsi"/>
          <w:sz w:val="28"/>
          <w:szCs w:val="28"/>
        </w:rPr>
        <w:t>Integral text of PGS</w:t>
      </w:r>
      <w:r w:rsidR="00977CB0">
        <w:rPr>
          <w:rStyle w:val="Heading1Char"/>
          <w:rFonts w:asciiTheme="minorHAnsi" w:hAnsiTheme="minorHAnsi" w:cstheme="minorHAnsi"/>
          <w:sz w:val="28"/>
          <w:szCs w:val="28"/>
        </w:rPr>
        <w:t xml:space="preserve"> </w:t>
      </w:r>
      <w:r w:rsidR="001F7437" w:rsidRPr="00583E82">
        <w:rPr>
          <w:rStyle w:val="Heading1Char"/>
          <w:rFonts w:asciiTheme="minorHAnsi" w:hAnsiTheme="minorHAnsi" w:cstheme="minorHAnsi"/>
          <w:sz w:val="28"/>
          <w:szCs w:val="28"/>
        </w:rPr>
        <w:t>8</w:t>
      </w:r>
      <w:r w:rsidR="00531244">
        <w:rPr>
          <w:rStyle w:val="Heading1Char"/>
          <w:rFonts w:asciiTheme="minorHAnsi" w:hAnsiTheme="minorHAnsi" w:cstheme="minorHAnsi"/>
          <w:sz w:val="28"/>
          <w:szCs w:val="28"/>
        </w:rPr>
        <w:t xml:space="preserve"> </w:t>
      </w:r>
      <w:r w:rsidR="001F7437" w:rsidRPr="00583E82">
        <w:rPr>
          <w:rStyle w:val="Heading1Char"/>
          <w:rFonts w:asciiTheme="minorHAnsi" w:hAnsiTheme="minorHAnsi" w:cstheme="minorHAnsi"/>
          <w:sz w:val="28"/>
          <w:szCs w:val="28"/>
        </w:rPr>
        <w:t>2011</w:t>
      </w:r>
      <w:r w:rsidR="00531244">
        <w:rPr>
          <w:rStyle w:val="Heading1Char"/>
          <w:rFonts w:asciiTheme="minorHAnsi" w:hAnsiTheme="minorHAnsi" w:cstheme="minorHAnsi"/>
          <w:sz w:val="28"/>
          <w:szCs w:val="28"/>
        </w:rPr>
        <w:t xml:space="preserve"> version</w:t>
      </w:r>
      <w:r w:rsidR="00A63FB7" w:rsidRPr="00583E82">
        <w:rPr>
          <w:rStyle w:val="Heading1Char"/>
          <w:rFonts w:asciiTheme="minorHAnsi" w:hAnsiTheme="minorHAnsi" w:cstheme="minorHAnsi"/>
          <w:sz w:val="28"/>
          <w:szCs w:val="28"/>
        </w:rPr>
        <w:t xml:space="preserve"> (embedded</w:t>
      </w:r>
      <w:r w:rsidR="00717A92" w:rsidRPr="00583E82">
        <w:rPr>
          <w:rStyle w:val="Heading1Char"/>
          <w:rFonts w:asciiTheme="minorHAnsi" w:hAnsiTheme="minorHAnsi" w:cstheme="minorHAnsi"/>
          <w:sz w:val="28"/>
          <w:szCs w:val="28"/>
        </w:rPr>
        <w:t>)</w:t>
      </w:r>
      <w:bookmarkEnd w:id="4"/>
    </w:p>
    <w:p w14:paraId="5F6FD57C" w14:textId="6CB7869B" w:rsidR="005C37A6" w:rsidRDefault="00763C57" w:rsidP="00763C57">
      <w:pPr>
        <w:spacing w:after="0"/>
        <w:jc w:val="both"/>
        <w:rPr>
          <w:color w:val="4F81BD" w:themeColor="accent1"/>
        </w:rPr>
      </w:pPr>
      <w:r w:rsidRPr="00763C57">
        <w:rPr>
          <w:color w:val="4F81BD" w:themeColor="accent1"/>
        </w:rPr>
        <w:t>The integral text of the PGS 8 2011 English version can be found in the below embedded file.</w:t>
      </w:r>
    </w:p>
    <w:p w14:paraId="57B3E6DD" w14:textId="77777777" w:rsidR="00763C57" w:rsidRDefault="00763C57" w:rsidP="00763C57">
      <w:pPr>
        <w:spacing w:after="0"/>
        <w:jc w:val="both"/>
        <w:rPr>
          <w:color w:val="4F81BD" w:themeColor="accent1"/>
        </w:rPr>
      </w:pPr>
    </w:p>
    <w:permStart w:id="163662949" w:edGrp="everyone"/>
    <w:p w14:paraId="1816AD4A" w14:textId="20FA4489" w:rsidR="00977CB0" w:rsidRDefault="00DB5996" w:rsidP="00977CB0">
      <w:pPr>
        <w:spacing w:after="0"/>
        <w:rPr>
          <w:color w:val="4F81BD" w:themeColor="accent1"/>
          <w:sz w:val="24"/>
          <w:szCs w:val="24"/>
          <w:u w:val="single"/>
        </w:rPr>
      </w:pPr>
      <w:r>
        <w:object w:dxaOrig="1930" w:dyaOrig="1256" w14:anchorId="4219F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6.75pt;height:63pt" o:ole="">
            <v:imagedata r:id="rId14" o:title=""/>
          </v:shape>
          <o:OLEObject Type="Embed" ProgID="AcroExch.Document.DC" ShapeID="_x0000_i1030" DrawAspect="Icon" ObjectID="_1684224145" r:id="rId15"/>
        </w:object>
      </w:r>
      <w:permEnd w:id="163662949"/>
    </w:p>
    <w:p w14:paraId="2B79F0C8" w14:textId="77777777" w:rsidR="00977CB0" w:rsidRDefault="00977CB0" w:rsidP="00977CB0">
      <w:pPr>
        <w:spacing w:after="0"/>
        <w:rPr>
          <w:color w:val="4F81BD" w:themeColor="accent1"/>
          <w:sz w:val="24"/>
          <w:szCs w:val="24"/>
          <w:u w:val="single"/>
        </w:rPr>
      </w:pPr>
    </w:p>
    <w:p w14:paraId="0B1168D6" w14:textId="77836FBF" w:rsidR="00D8018D" w:rsidRPr="00583E82" w:rsidRDefault="00E71E95" w:rsidP="00583E82">
      <w:pPr>
        <w:pStyle w:val="Heading1"/>
        <w:numPr>
          <w:ilvl w:val="0"/>
          <w:numId w:val="14"/>
        </w:numPr>
        <w:spacing w:before="0" w:after="120"/>
        <w:ind w:left="357" w:hanging="357"/>
        <w:rPr>
          <w:rFonts w:asciiTheme="minorHAnsi" w:hAnsiTheme="minorHAnsi" w:cstheme="minorHAnsi"/>
          <w:sz w:val="28"/>
          <w:szCs w:val="28"/>
        </w:rPr>
      </w:pPr>
      <w:bookmarkStart w:id="5" w:name="_Toc66776389"/>
      <w:r w:rsidRPr="00583E82">
        <w:rPr>
          <w:rFonts w:asciiTheme="minorHAnsi" w:hAnsiTheme="minorHAnsi" w:cstheme="minorHAnsi"/>
          <w:sz w:val="28"/>
          <w:szCs w:val="28"/>
        </w:rPr>
        <w:t>Table Organic peroxide</w:t>
      </w:r>
      <w:r w:rsidR="00531244">
        <w:rPr>
          <w:rFonts w:asciiTheme="minorHAnsi" w:hAnsiTheme="minorHAnsi" w:cstheme="minorHAnsi"/>
          <w:sz w:val="28"/>
          <w:szCs w:val="28"/>
        </w:rPr>
        <w:t>s</w:t>
      </w:r>
      <w:r w:rsidRPr="00583E82">
        <w:rPr>
          <w:rFonts w:asciiTheme="minorHAnsi" w:hAnsiTheme="minorHAnsi" w:cstheme="minorHAnsi"/>
          <w:sz w:val="28"/>
          <w:szCs w:val="28"/>
        </w:rPr>
        <w:t xml:space="preserve"> and storage classifications</w:t>
      </w:r>
      <w:r w:rsidR="00977CB0">
        <w:rPr>
          <w:rFonts w:asciiTheme="minorHAnsi" w:hAnsiTheme="minorHAnsi" w:cstheme="minorHAnsi"/>
          <w:sz w:val="28"/>
          <w:szCs w:val="28"/>
        </w:rPr>
        <w:t xml:space="preserve"> (embedded)</w:t>
      </w:r>
      <w:bookmarkEnd w:id="5"/>
    </w:p>
    <w:p w14:paraId="0DF69782" w14:textId="44A52B8D" w:rsidR="00763C57" w:rsidRPr="00763C57" w:rsidRDefault="00763C57" w:rsidP="00763C57">
      <w:pPr>
        <w:spacing w:after="0"/>
        <w:jc w:val="both"/>
        <w:rPr>
          <w:color w:val="4F81BD" w:themeColor="accent1"/>
        </w:rPr>
      </w:pPr>
      <w:r>
        <w:rPr>
          <w:color w:val="4F81BD" w:themeColor="accent1"/>
        </w:rPr>
        <w:t>T</w:t>
      </w:r>
      <w:r w:rsidRPr="00763C57">
        <w:rPr>
          <w:color w:val="4F81BD" w:themeColor="accent1"/>
        </w:rPr>
        <w:t>he table of organic peroxides and storage classifications as included in the PGS 8:2020 version 0.2 (April 2020)</w:t>
      </w:r>
      <w:r>
        <w:rPr>
          <w:color w:val="4F81BD" w:themeColor="accent1"/>
        </w:rPr>
        <w:t xml:space="preserve"> can be found in the below embedded file</w:t>
      </w:r>
      <w:r w:rsidRPr="00763C57">
        <w:rPr>
          <w:color w:val="4F81BD" w:themeColor="accent1"/>
        </w:rPr>
        <w:t xml:space="preserve">. It should be noted that this table may be updated in the future. The current table can be found on the next website: </w:t>
      </w:r>
      <w:hyperlink r:id="rId16" w:history="1">
        <w:r w:rsidRPr="001227D9">
          <w:rPr>
            <w:rStyle w:val="Hyperlink"/>
          </w:rPr>
          <w:t>www.publicatiereeksgevaarlijkestoffen.nl</w:t>
        </w:r>
      </w:hyperlink>
      <w:r>
        <w:rPr>
          <w:color w:val="4F81BD" w:themeColor="accent1"/>
        </w:rPr>
        <w:t>.</w:t>
      </w:r>
    </w:p>
    <w:p w14:paraId="77FF0884" w14:textId="77777777" w:rsidR="00763C57" w:rsidRDefault="00763C57" w:rsidP="00763C57">
      <w:pPr>
        <w:spacing w:after="0"/>
      </w:pPr>
    </w:p>
    <w:permStart w:id="1432708855" w:edGrp="everyone"/>
    <w:p w14:paraId="647E645B" w14:textId="72D8B157" w:rsidR="006539D2" w:rsidRPr="00E72E48" w:rsidRDefault="00DB5996">
      <w:pPr>
        <w:rPr>
          <w:color w:val="4F81BD" w:themeColor="accent1"/>
          <w:sz w:val="24"/>
          <w:szCs w:val="24"/>
          <w:u w:val="single"/>
        </w:rPr>
      </w:pPr>
      <w:r>
        <w:object w:dxaOrig="1532" w:dyaOrig="991" w14:anchorId="532EE6DB">
          <v:shape id="_x0000_i1032" type="#_x0000_t75" style="width:76.5pt;height:49.5pt" o:ole="">
            <v:imagedata r:id="rId17" o:title=""/>
          </v:shape>
          <o:OLEObject Type="Embed" ProgID="AcroExch.Document.DC" ShapeID="_x0000_i1032" DrawAspect="Icon" ObjectID="_1684224146" r:id="rId18"/>
        </w:object>
      </w:r>
      <w:permEnd w:id="1432708855"/>
    </w:p>
    <w:sectPr w:rsidR="006539D2" w:rsidRPr="00E72E48" w:rsidSect="0098192E">
      <w:headerReference w:type="even" r:id="rId19"/>
      <w:headerReference w:type="default" r:id="rId20"/>
      <w:footerReference w:type="even" r:id="rId21"/>
      <w:footerReference w:type="default" r:id="rId22"/>
      <w:headerReference w:type="first" r:id="rId23"/>
      <w:footerReference w:type="first" r:id="rId24"/>
      <w:pgSz w:w="11906" w:h="16838"/>
      <w:pgMar w:top="113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CF439" w14:textId="77777777" w:rsidR="008C451F" w:rsidRDefault="008C451F" w:rsidP="00A61EA2">
      <w:pPr>
        <w:spacing w:after="0" w:line="240" w:lineRule="auto"/>
      </w:pPr>
      <w:r>
        <w:separator/>
      </w:r>
    </w:p>
  </w:endnote>
  <w:endnote w:type="continuationSeparator" w:id="0">
    <w:p w14:paraId="449147DC" w14:textId="77777777" w:rsidR="008C451F" w:rsidRDefault="008C451F" w:rsidP="00A6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B887" w14:textId="77777777" w:rsidR="00650789" w:rsidRDefault="0065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709495"/>
      <w:docPartObj>
        <w:docPartGallery w:val="Page Numbers (Bottom of Page)"/>
        <w:docPartUnique/>
      </w:docPartObj>
    </w:sdtPr>
    <w:sdtEndPr>
      <w:rPr>
        <w:color w:val="7F7F7F" w:themeColor="background1" w:themeShade="7F"/>
        <w:spacing w:val="60"/>
      </w:rPr>
    </w:sdtEndPr>
    <w:sdtContent>
      <w:p w14:paraId="4D08A1FE" w14:textId="1EFE4D9D" w:rsidR="00A61EA2" w:rsidRDefault="00A61EA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00A75698">
          <w:rPr>
            <w:b/>
            <w:bCs/>
          </w:rPr>
          <w:t>Addendum to PGS 8 version 2011 in line with the PGS 8 version 2020</w:t>
        </w:r>
      </w:p>
    </w:sdtContent>
  </w:sdt>
  <w:p w14:paraId="37026D04" w14:textId="77777777" w:rsidR="00A61EA2" w:rsidRDefault="00A61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A62C3" w14:textId="77777777" w:rsidR="00650789" w:rsidRDefault="0065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277E3" w14:textId="77777777" w:rsidR="008C451F" w:rsidRDefault="008C451F" w:rsidP="00A61EA2">
      <w:pPr>
        <w:spacing w:after="0" w:line="240" w:lineRule="auto"/>
      </w:pPr>
      <w:r>
        <w:separator/>
      </w:r>
    </w:p>
  </w:footnote>
  <w:footnote w:type="continuationSeparator" w:id="0">
    <w:p w14:paraId="266CBD76" w14:textId="77777777" w:rsidR="008C451F" w:rsidRDefault="008C451F" w:rsidP="00A61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4E40" w14:textId="77777777" w:rsidR="00650789" w:rsidRDefault="00650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FFC88" w14:textId="4D72A69C" w:rsidR="00A75698" w:rsidRDefault="00A756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69A55" w14:textId="77777777" w:rsidR="00650789" w:rsidRDefault="00650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57E19"/>
    <w:multiLevelType w:val="hybridMultilevel"/>
    <w:tmpl w:val="ACACD400"/>
    <w:lvl w:ilvl="0" w:tplc="F9E431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908A0"/>
    <w:multiLevelType w:val="hybridMultilevel"/>
    <w:tmpl w:val="319EF9F0"/>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613C5"/>
    <w:multiLevelType w:val="hybridMultilevel"/>
    <w:tmpl w:val="43766230"/>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F2F48"/>
    <w:multiLevelType w:val="hybridMultilevel"/>
    <w:tmpl w:val="586EC7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C33349"/>
    <w:multiLevelType w:val="hybridMultilevel"/>
    <w:tmpl w:val="09A8C32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1498D"/>
    <w:multiLevelType w:val="hybridMultilevel"/>
    <w:tmpl w:val="C3702F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1D16F6"/>
    <w:multiLevelType w:val="hybridMultilevel"/>
    <w:tmpl w:val="2B2EC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1E1CE6"/>
    <w:multiLevelType w:val="hybridMultilevel"/>
    <w:tmpl w:val="D932DFC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B3C1E"/>
    <w:multiLevelType w:val="hybridMultilevel"/>
    <w:tmpl w:val="788AE89A"/>
    <w:lvl w:ilvl="0" w:tplc="F9E431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3B6440"/>
    <w:multiLevelType w:val="hybridMultilevel"/>
    <w:tmpl w:val="08DA0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04964"/>
    <w:multiLevelType w:val="hybridMultilevel"/>
    <w:tmpl w:val="6E42468A"/>
    <w:lvl w:ilvl="0" w:tplc="91585E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E4AF6"/>
    <w:multiLevelType w:val="hybridMultilevel"/>
    <w:tmpl w:val="E49CB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AC4CC4"/>
    <w:multiLevelType w:val="hybridMultilevel"/>
    <w:tmpl w:val="B4BE5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BF06E06"/>
    <w:multiLevelType w:val="hybridMultilevel"/>
    <w:tmpl w:val="647662FA"/>
    <w:lvl w:ilvl="0" w:tplc="2BD860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7"/>
  </w:num>
  <w:num w:numId="5">
    <w:abstractNumId w:val="2"/>
  </w:num>
  <w:num w:numId="6">
    <w:abstractNumId w:val="10"/>
  </w:num>
  <w:num w:numId="7">
    <w:abstractNumId w:val="11"/>
  </w:num>
  <w:num w:numId="8">
    <w:abstractNumId w:val="8"/>
  </w:num>
  <w:num w:numId="9">
    <w:abstractNumId w:val="0"/>
  </w:num>
  <w:num w:numId="10">
    <w:abstractNumId w:val="6"/>
  </w:num>
  <w:num w:numId="11">
    <w:abstractNumId w:val="9"/>
  </w:num>
  <w:num w:numId="12">
    <w:abstractNumId w:val="5"/>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R/M6usd/WGQdUfUWIS1C7+lpnPeK5JGkTZFSan5BTfTcU9a9/EyuMIPo80mfgL3f5mtqdZGcsh4P/DFWg2Tbsg==" w:salt="8KlX6Rwtdqriz3FWyXUfP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DE"/>
    <w:rsid w:val="00000BCC"/>
    <w:rsid w:val="000011F1"/>
    <w:rsid w:val="00014697"/>
    <w:rsid w:val="00024852"/>
    <w:rsid w:val="00025E0F"/>
    <w:rsid w:val="00026A97"/>
    <w:rsid w:val="00027577"/>
    <w:rsid w:val="00030923"/>
    <w:rsid w:val="0003450F"/>
    <w:rsid w:val="00035F59"/>
    <w:rsid w:val="00037A40"/>
    <w:rsid w:val="000456BF"/>
    <w:rsid w:val="0005385C"/>
    <w:rsid w:val="00072323"/>
    <w:rsid w:val="00086F66"/>
    <w:rsid w:val="000A1476"/>
    <w:rsid w:val="000B025C"/>
    <w:rsid w:val="000B0896"/>
    <w:rsid w:val="000B1EF1"/>
    <w:rsid w:val="000B270E"/>
    <w:rsid w:val="000B3CDF"/>
    <w:rsid w:val="000C0907"/>
    <w:rsid w:val="000D182C"/>
    <w:rsid w:val="000D49A6"/>
    <w:rsid w:val="000E1FB3"/>
    <w:rsid w:val="000E527D"/>
    <w:rsid w:val="00100475"/>
    <w:rsid w:val="00100A61"/>
    <w:rsid w:val="00101661"/>
    <w:rsid w:val="001105D9"/>
    <w:rsid w:val="00111D4D"/>
    <w:rsid w:val="00113544"/>
    <w:rsid w:val="00121C24"/>
    <w:rsid w:val="00125A0C"/>
    <w:rsid w:val="001314FA"/>
    <w:rsid w:val="001343C9"/>
    <w:rsid w:val="00135DB8"/>
    <w:rsid w:val="00141DF1"/>
    <w:rsid w:val="00142FDA"/>
    <w:rsid w:val="0015074E"/>
    <w:rsid w:val="0015695A"/>
    <w:rsid w:val="00177DEA"/>
    <w:rsid w:val="00197723"/>
    <w:rsid w:val="001B0C40"/>
    <w:rsid w:val="001B4054"/>
    <w:rsid w:val="001B45B9"/>
    <w:rsid w:val="001C5674"/>
    <w:rsid w:val="001E1EF2"/>
    <w:rsid w:val="001E4959"/>
    <w:rsid w:val="001F66D1"/>
    <w:rsid w:val="001F7437"/>
    <w:rsid w:val="00215175"/>
    <w:rsid w:val="00220409"/>
    <w:rsid w:val="0023498D"/>
    <w:rsid w:val="002424EB"/>
    <w:rsid w:val="00242628"/>
    <w:rsid w:val="00244EEC"/>
    <w:rsid w:val="002478B7"/>
    <w:rsid w:val="00253A3A"/>
    <w:rsid w:val="002652AB"/>
    <w:rsid w:val="00265E0B"/>
    <w:rsid w:val="002717E2"/>
    <w:rsid w:val="002733B4"/>
    <w:rsid w:val="00275206"/>
    <w:rsid w:val="00282081"/>
    <w:rsid w:val="0028465E"/>
    <w:rsid w:val="002856D0"/>
    <w:rsid w:val="002863D4"/>
    <w:rsid w:val="0029086B"/>
    <w:rsid w:val="002A58EB"/>
    <w:rsid w:val="002A7013"/>
    <w:rsid w:val="002B60BB"/>
    <w:rsid w:val="002B79E2"/>
    <w:rsid w:val="002C0B80"/>
    <w:rsid w:val="002C73B0"/>
    <w:rsid w:val="002D0FC5"/>
    <w:rsid w:val="002F3574"/>
    <w:rsid w:val="002F4908"/>
    <w:rsid w:val="003012E3"/>
    <w:rsid w:val="00305D32"/>
    <w:rsid w:val="0031103E"/>
    <w:rsid w:val="00313AAC"/>
    <w:rsid w:val="00322716"/>
    <w:rsid w:val="00324928"/>
    <w:rsid w:val="00324EA5"/>
    <w:rsid w:val="00325F3F"/>
    <w:rsid w:val="003300F2"/>
    <w:rsid w:val="00336A51"/>
    <w:rsid w:val="00340453"/>
    <w:rsid w:val="003432C8"/>
    <w:rsid w:val="00346656"/>
    <w:rsid w:val="00370651"/>
    <w:rsid w:val="003A0FAE"/>
    <w:rsid w:val="003A29F2"/>
    <w:rsid w:val="003D4CD3"/>
    <w:rsid w:val="003E0A76"/>
    <w:rsid w:val="003F3484"/>
    <w:rsid w:val="004069D8"/>
    <w:rsid w:val="00410D30"/>
    <w:rsid w:val="004128BF"/>
    <w:rsid w:val="0041468A"/>
    <w:rsid w:val="00422A2C"/>
    <w:rsid w:val="00430092"/>
    <w:rsid w:val="00440083"/>
    <w:rsid w:val="00455D28"/>
    <w:rsid w:val="004570BA"/>
    <w:rsid w:val="00467D19"/>
    <w:rsid w:val="00470688"/>
    <w:rsid w:val="00470A7F"/>
    <w:rsid w:val="004859DF"/>
    <w:rsid w:val="004875FC"/>
    <w:rsid w:val="00491890"/>
    <w:rsid w:val="00493190"/>
    <w:rsid w:val="0049399D"/>
    <w:rsid w:val="004B501B"/>
    <w:rsid w:val="004D7C11"/>
    <w:rsid w:val="004E7181"/>
    <w:rsid w:val="004F04B7"/>
    <w:rsid w:val="004F343B"/>
    <w:rsid w:val="004F412A"/>
    <w:rsid w:val="004F5B90"/>
    <w:rsid w:val="004F751E"/>
    <w:rsid w:val="005004BC"/>
    <w:rsid w:val="00512EC0"/>
    <w:rsid w:val="005175C6"/>
    <w:rsid w:val="00531244"/>
    <w:rsid w:val="0053182F"/>
    <w:rsid w:val="00540AF2"/>
    <w:rsid w:val="00551BA2"/>
    <w:rsid w:val="005522D1"/>
    <w:rsid w:val="00562B06"/>
    <w:rsid w:val="00563F20"/>
    <w:rsid w:val="005704C0"/>
    <w:rsid w:val="0057117A"/>
    <w:rsid w:val="00574CFF"/>
    <w:rsid w:val="00575625"/>
    <w:rsid w:val="00577DA0"/>
    <w:rsid w:val="005833F7"/>
    <w:rsid w:val="00583E82"/>
    <w:rsid w:val="005900AA"/>
    <w:rsid w:val="00594610"/>
    <w:rsid w:val="00597354"/>
    <w:rsid w:val="005A2B0B"/>
    <w:rsid w:val="005A73D1"/>
    <w:rsid w:val="005A7769"/>
    <w:rsid w:val="005B171C"/>
    <w:rsid w:val="005B7558"/>
    <w:rsid w:val="005C2EC1"/>
    <w:rsid w:val="005C37A6"/>
    <w:rsid w:val="005F2A7E"/>
    <w:rsid w:val="005F5272"/>
    <w:rsid w:val="005F5E70"/>
    <w:rsid w:val="00605DCC"/>
    <w:rsid w:val="00607C10"/>
    <w:rsid w:val="006147EC"/>
    <w:rsid w:val="006357EA"/>
    <w:rsid w:val="00635EE0"/>
    <w:rsid w:val="00650789"/>
    <w:rsid w:val="006539D2"/>
    <w:rsid w:val="00660302"/>
    <w:rsid w:val="00663F8E"/>
    <w:rsid w:val="0067788A"/>
    <w:rsid w:val="00684308"/>
    <w:rsid w:val="00690E41"/>
    <w:rsid w:val="006A2295"/>
    <w:rsid w:val="006A5517"/>
    <w:rsid w:val="006B088B"/>
    <w:rsid w:val="006B2F64"/>
    <w:rsid w:val="006D6CDF"/>
    <w:rsid w:val="006E4DB2"/>
    <w:rsid w:val="006F6A95"/>
    <w:rsid w:val="00707A2E"/>
    <w:rsid w:val="0071514D"/>
    <w:rsid w:val="00717A92"/>
    <w:rsid w:val="007202D4"/>
    <w:rsid w:val="00722308"/>
    <w:rsid w:val="00732A78"/>
    <w:rsid w:val="007340B4"/>
    <w:rsid w:val="0073792E"/>
    <w:rsid w:val="00752918"/>
    <w:rsid w:val="00752A0D"/>
    <w:rsid w:val="007532E2"/>
    <w:rsid w:val="00757BC0"/>
    <w:rsid w:val="007608F9"/>
    <w:rsid w:val="00763C57"/>
    <w:rsid w:val="007709FF"/>
    <w:rsid w:val="00770B3F"/>
    <w:rsid w:val="007712F0"/>
    <w:rsid w:val="00773FA4"/>
    <w:rsid w:val="00785A9C"/>
    <w:rsid w:val="00787710"/>
    <w:rsid w:val="00787B91"/>
    <w:rsid w:val="007931C4"/>
    <w:rsid w:val="007A3402"/>
    <w:rsid w:val="007E1852"/>
    <w:rsid w:val="007E3EAD"/>
    <w:rsid w:val="007F53C3"/>
    <w:rsid w:val="007F5DA5"/>
    <w:rsid w:val="007F6991"/>
    <w:rsid w:val="00801343"/>
    <w:rsid w:val="00817BB7"/>
    <w:rsid w:val="008230C9"/>
    <w:rsid w:val="00825A04"/>
    <w:rsid w:val="00834E27"/>
    <w:rsid w:val="00842E83"/>
    <w:rsid w:val="008529B8"/>
    <w:rsid w:val="00854DAF"/>
    <w:rsid w:val="00856B68"/>
    <w:rsid w:val="00865432"/>
    <w:rsid w:val="0087092F"/>
    <w:rsid w:val="00876DBF"/>
    <w:rsid w:val="00882284"/>
    <w:rsid w:val="00882808"/>
    <w:rsid w:val="00894FAA"/>
    <w:rsid w:val="008A08EB"/>
    <w:rsid w:val="008A4EB8"/>
    <w:rsid w:val="008C3F4C"/>
    <w:rsid w:val="008C451F"/>
    <w:rsid w:val="008C751D"/>
    <w:rsid w:val="008D4D9E"/>
    <w:rsid w:val="008D6611"/>
    <w:rsid w:val="008F5204"/>
    <w:rsid w:val="009042E1"/>
    <w:rsid w:val="009045B0"/>
    <w:rsid w:val="00906046"/>
    <w:rsid w:val="00907384"/>
    <w:rsid w:val="00915D33"/>
    <w:rsid w:val="00921E50"/>
    <w:rsid w:val="009360B0"/>
    <w:rsid w:val="009434B5"/>
    <w:rsid w:val="00943784"/>
    <w:rsid w:val="00943FFE"/>
    <w:rsid w:val="009445A9"/>
    <w:rsid w:val="00947C96"/>
    <w:rsid w:val="00954493"/>
    <w:rsid w:val="00966C99"/>
    <w:rsid w:val="009670E3"/>
    <w:rsid w:val="00977CB0"/>
    <w:rsid w:val="0098192E"/>
    <w:rsid w:val="00983FB5"/>
    <w:rsid w:val="009877DD"/>
    <w:rsid w:val="00990CB7"/>
    <w:rsid w:val="00992EA5"/>
    <w:rsid w:val="00994489"/>
    <w:rsid w:val="009A073E"/>
    <w:rsid w:val="009B3BAE"/>
    <w:rsid w:val="009B6A5B"/>
    <w:rsid w:val="009B6C16"/>
    <w:rsid w:val="009C24EF"/>
    <w:rsid w:val="009C4223"/>
    <w:rsid w:val="009D37BF"/>
    <w:rsid w:val="009E30D2"/>
    <w:rsid w:val="009E6A3F"/>
    <w:rsid w:val="00A030E6"/>
    <w:rsid w:val="00A274BD"/>
    <w:rsid w:val="00A31F73"/>
    <w:rsid w:val="00A34574"/>
    <w:rsid w:val="00A4035D"/>
    <w:rsid w:val="00A458EC"/>
    <w:rsid w:val="00A45BB9"/>
    <w:rsid w:val="00A56A0B"/>
    <w:rsid w:val="00A61EA2"/>
    <w:rsid w:val="00A63FB7"/>
    <w:rsid w:val="00A6505E"/>
    <w:rsid w:val="00A658BE"/>
    <w:rsid w:val="00A72ACF"/>
    <w:rsid w:val="00A73450"/>
    <w:rsid w:val="00A75698"/>
    <w:rsid w:val="00A8149E"/>
    <w:rsid w:val="00A8407E"/>
    <w:rsid w:val="00A9139B"/>
    <w:rsid w:val="00A926E9"/>
    <w:rsid w:val="00A966D0"/>
    <w:rsid w:val="00AA1555"/>
    <w:rsid w:val="00AA15B8"/>
    <w:rsid w:val="00AB2238"/>
    <w:rsid w:val="00AB5980"/>
    <w:rsid w:val="00AC2479"/>
    <w:rsid w:val="00AC66C2"/>
    <w:rsid w:val="00AE40AC"/>
    <w:rsid w:val="00AF371B"/>
    <w:rsid w:val="00AF5D87"/>
    <w:rsid w:val="00AF753E"/>
    <w:rsid w:val="00B020A0"/>
    <w:rsid w:val="00B05EA6"/>
    <w:rsid w:val="00B1070D"/>
    <w:rsid w:val="00B10904"/>
    <w:rsid w:val="00B13C79"/>
    <w:rsid w:val="00B22428"/>
    <w:rsid w:val="00B42507"/>
    <w:rsid w:val="00B5616F"/>
    <w:rsid w:val="00B57BDB"/>
    <w:rsid w:val="00B63774"/>
    <w:rsid w:val="00B644EE"/>
    <w:rsid w:val="00B7168E"/>
    <w:rsid w:val="00B72557"/>
    <w:rsid w:val="00B8015A"/>
    <w:rsid w:val="00B921FC"/>
    <w:rsid w:val="00B97B01"/>
    <w:rsid w:val="00BA663F"/>
    <w:rsid w:val="00BC1998"/>
    <w:rsid w:val="00BC6612"/>
    <w:rsid w:val="00BC7BA7"/>
    <w:rsid w:val="00BE23E8"/>
    <w:rsid w:val="00BE56C6"/>
    <w:rsid w:val="00C004A8"/>
    <w:rsid w:val="00C00C67"/>
    <w:rsid w:val="00C0479D"/>
    <w:rsid w:val="00C3592F"/>
    <w:rsid w:val="00C467D6"/>
    <w:rsid w:val="00C47A9D"/>
    <w:rsid w:val="00C47C8C"/>
    <w:rsid w:val="00C51995"/>
    <w:rsid w:val="00C56C80"/>
    <w:rsid w:val="00C61596"/>
    <w:rsid w:val="00C64395"/>
    <w:rsid w:val="00C6590B"/>
    <w:rsid w:val="00C72C67"/>
    <w:rsid w:val="00C80C10"/>
    <w:rsid w:val="00C8348E"/>
    <w:rsid w:val="00C920B5"/>
    <w:rsid w:val="00C947F7"/>
    <w:rsid w:val="00CA7FD6"/>
    <w:rsid w:val="00CD1DE8"/>
    <w:rsid w:val="00CD616F"/>
    <w:rsid w:val="00CD7181"/>
    <w:rsid w:val="00CE610D"/>
    <w:rsid w:val="00D176E1"/>
    <w:rsid w:val="00D34678"/>
    <w:rsid w:val="00D3530D"/>
    <w:rsid w:val="00D40FEB"/>
    <w:rsid w:val="00D459E9"/>
    <w:rsid w:val="00D47EFC"/>
    <w:rsid w:val="00D57C64"/>
    <w:rsid w:val="00D679B8"/>
    <w:rsid w:val="00D71C47"/>
    <w:rsid w:val="00D8018D"/>
    <w:rsid w:val="00D8133B"/>
    <w:rsid w:val="00D904DB"/>
    <w:rsid w:val="00DB0D38"/>
    <w:rsid w:val="00DB2332"/>
    <w:rsid w:val="00DB4D3C"/>
    <w:rsid w:val="00DB5996"/>
    <w:rsid w:val="00DD4AEE"/>
    <w:rsid w:val="00DD67AB"/>
    <w:rsid w:val="00DE0FCA"/>
    <w:rsid w:val="00DE5F07"/>
    <w:rsid w:val="00DE6FBD"/>
    <w:rsid w:val="00DF3EC8"/>
    <w:rsid w:val="00E07F65"/>
    <w:rsid w:val="00E21B72"/>
    <w:rsid w:val="00E30175"/>
    <w:rsid w:val="00E321B1"/>
    <w:rsid w:val="00E3270D"/>
    <w:rsid w:val="00E407DE"/>
    <w:rsid w:val="00E452B0"/>
    <w:rsid w:val="00E458C5"/>
    <w:rsid w:val="00E71E6D"/>
    <w:rsid w:val="00E71E95"/>
    <w:rsid w:val="00E72E48"/>
    <w:rsid w:val="00E75FBF"/>
    <w:rsid w:val="00E93718"/>
    <w:rsid w:val="00E93865"/>
    <w:rsid w:val="00E95FA1"/>
    <w:rsid w:val="00EC7EE5"/>
    <w:rsid w:val="00F04104"/>
    <w:rsid w:val="00F055B0"/>
    <w:rsid w:val="00F40919"/>
    <w:rsid w:val="00F52B80"/>
    <w:rsid w:val="00F53ED4"/>
    <w:rsid w:val="00F63094"/>
    <w:rsid w:val="00F84E87"/>
    <w:rsid w:val="00F907FD"/>
    <w:rsid w:val="00F92896"/>
    <w:rsid w:val="00F97301"/>
    <w:rsid w:val="00FB5658"/>
    <w:rsid w:val="00FC3F79"/>
    <w:rsid w:val="00FF1CF5"/>
    <w:rsid w:val="00FF3DD1"/>
    <w:rsid w:val="00FF5C62"/>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C5B67"/>
  <w15:chartTrackingRefBased/>
  <w15:docId w15:val="{2A09C5EE-76CA-4C40-BAEB-6644EE09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9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7DE"/>
    <w:pPr>
      <w:ind w:left="720"/>
      <w:contextualSpacing/>
    </w:pPr>
  </w:style>
  <w:style w:type="paragraph" w:styleId="Header">
    <w:name w:val="header"/>
    <w:basedOn w:val="Normal"/>
    <w:link w:val="HeaderChar"/>
    <w:uiPriority w:val="99"/>
    <w:unhideWhenUsed/>
    <w:rsid w:val="00A61EA2"/>
    <w:pPr>
      <w:tabs>
        <w:tab w:val="center" w:pos="4703"/>
        <w:tab w:val="right" w:pos="9406"/>
      </w:tabs>
      <w:spacing w:after="0" w:line="240" w:lineRule="auto"/>
    </w:pPr>
  </w:style>
  <w:style w:type="character" w:customStyle="1" w:styleId="HeaderChar">
    <w:name w:val="Header Char"/>
    <w:basedOn w:val="DefaultParagraphFont"/>
    <w:link w:val="Header"/>
    <w:uiPriority w:val="99"/>
    <w:rsid w:val="00A61EA2"/>
  </w:style>
  <w:style w:type="paragraph" w:styleId="Footer">
    <w:name w:val="footer"/>
    <w:basedOn w:val="Normal"/>
    <w:link w:val="FooterChar"/>
    <w:uiPriority w:val="99"/>
    <w:unhideWhenUsed/>
    <w:qFormat/>
    <w:rsid w:val="00A61EA2"/>
    <w:pPr>
      <w:tabs>
        <w:tab w:val="center" w:pos="4703"/>
        <w:tab w:val="right" w:pos="9406"/>
      </w:tabs>
      <w:spacing w:after="0" w:line="240" w:lineRule="auto"/>
    </w:pPr>
  </w:style>
  <w:style w:type="character" w:customStyle="1" w:styleId="FooterChar">
    <w:name w:val="Footer Char"/>
    <w:basedOn w:val="DefaultParagraphFont"/>
    <w:link w:val="Footer"/>
    <w:uiPriority w:val="99"/>
    <w:rsid w:val="00A61EA2"/>
  </w:style>
  <w:style w:type="paragraph" w:styleId="BalloonText">
    <w:name w:val="Balloon Text"/>
    <w:basedOn w:val="Normal"/>
    <w:link w:val="BalloonTextChar"/>
    <w:uiPriority w:val="99"/>
    <w:semiHidden/>
    <w:unhideWhenUsed/>
    <w:rsid w:val="0079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1C4"/>
    <w:rPr>
      <w:rFonts w:ascii="Segoe UI" w:hAnsi="Segoe UI" w:cs="Segoe UI"/>
      <w:sz w:val="18"/>
      <w:szCs w:val="18"/>
    </w:rPr>
  </w:style>
  <w:style w:type="character" w:customStyle="1" w:styleId="Title1">
    <w:name w:val="Title1"/>
    <w:basedOn w:val="DefaultParagraphFont"/>
    <w:rsid w:val="00430092"/>
    <w:rPr>
      <w:rFonts w:ascii="Open Sans" w:hAnsi="Open Sans" w:hint="default"/>
    </w:rPr>
  </w:style>
  <w:style w:type="character" w:customStyle="1" w:styleId="Heading1Char">
    <w:name w:val="Heading 1 Char"/>
    <w:basedOn w:val="DefaultParagraphFont"/>
    <w:link w:val="Heading1"/>
    <w:uiPriority w:val="9"/>
    <w:rsid w:val="003249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24928"/>
    <w:pPr>
      <w:outlineLvl w:val="9"/>
    </w:pPr>
  </w:style>
  <w:style w:type="paragraph" w:styleId="TOC1">
    <w:name w:val="toc 1"/>
    <w:basedOn w:val="Normal"/>
    <w:next w:val="Normal"/>
    <w:autoRedefine/>
    <w:uiPriority w:val="39"/>
    <w:unhideWhenUsed/>
    <w:rsid w:val="00A73450"/>
    <w:pPr>
      <w:tabs>
        <w:tab w:val="right" w:leader="dot" w:pos="9016"/>
      </w:tabs>
      <w:spacing w:after="100"/>
      <w:ind w:left="426" w:hanging="426"/>
    </w:pPr>
    <w:rPr>
      <w:noProof/>
      <w:color w:val="4F81BD" w:themeColor="accent1"/>
    </w:rPr>
  </w:style>
  <w:style w:type="character" w:styleId="Hyperlink">
    <w:name w:val="Hyperlink"/>
    <w:basedOn w:val="DefaultParagraphFont"/>
    <w:uiPriority w:val="99"/>
    <w:unhideWhenUsed/>
    <w:rsid w:val="00B5616F"/>
    <w:rPr>
      <w:color w:val="0000FF" w:themeColor="hyperlink"/>
      <w:u w:val="single"/>
    </w:rPr>
  </w:style>
  <w:style w:type="character" w:styleId="UnresolvedMention">
    <w:name w:val="Unresolved Mention"/>
    <w:basedOn w:val="DefaultParagraphFont"/>
    <w:uiPriority w:val="99"/>
    <w:semiHidden/>
    <w:unhideWhenUsed/>
    <w:rsid w:val="009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886955">
      <w:bodyDiv w:val="1"/>
      <w:marLeft w:val="0"/>
      <w:marRight w:val="0"/>
      <w:marTop w:val="0"/>
      <w:marBottom w:val="0"/>
      <w:divBdr>
        <w:top w:val="none" w:sz="0" w:space="0" w:color="auto"/>
        <w:left w:val="none" w:sz="0" w:space="0" w:color="auto"/>
        <w:bottom w:val="none" w:sz="0" w:space="0" w:color="auto"/>
        <w:right w:val="none" w:sz="0" w:space="0" w:color="auto"/>
      </w:divBdr>
      <w:divsChild>
        <w:div w:id="1330325268">
          <w:marLeft w:val="0"/>
          <w:marRight w:val="0"/>
          <w:marTop w:val="100"/>
          <w:marBottom w:val="0"/>
          <w:divBdr>
            <w:top w:val="none" w:sz="0" w:space="0" w:color="auto"/>
            <w:left w:val="none" w:sz="0" w:space="0" w:color="auto"/>
            <w:bottom w:val="none" w:sz="0" w:space="0" w:color="auto"/>
            <w:right w:val="none" w:sz="0" w:space="0" w:color="auto"/>
          </w:divBdr>
          <w:divsChild>
            <w:div w:id="1843621901">
              <w:marLeft w:val="0"/>
              <w:marRight w:val="0"/>
              <w:marTop w:val="60"/>
              <w:marBottom w:val="0"/>
              <w:divBdr>
                <w:top w:val="none" w:sz="0" w:space="0" w:color="auto"/>
                <w:left w:val="none" w:sz="0" w:space="0" w:color="auto"/>
                <w:bottom w:val="none" w:sz="0" w:space="0" w:color="auto"/>
                <w:right w:val="none" w:sz="0" w:space="0" w:color="auto"/>
              </w:divBdr>
            </w:div>
          </w:divsChild>
        </w:div>
        <w:div w:id="366412960">
          <w:marLeft w:val="0"/>
          <w:marRight w:val="0"/>
          <w:marTop w:val="0"/>
          <w:marBottom w:val="0"/>
          <w:divBdr>
            <w:top w:val="none" w:sz="0" w:space="0" w:color="auto"/>
            <w:left w:val="none" w:sz="0" w:space="0" w:color="auto"/>
            <w:bottom w:val="none" w:sz="0" w:space="0" w:color="auto"/>
            <w:right w:val="none" w:sz="0" w:space="0" w:color="auto"/>
          </w:divBdr>
          <w:divsChild>
            <w:div w:id="544950538">
              <w:marLeft w:val="0"/>
              <w:marRight w:val="0"/>
              <w:marTop w:val="0"/>
              <w:marBottom w:val="0"/>
              <w:divBdr>
                <w:top w:val="none" w:sz="0" w:space="0" w:color="auto"/>
                <w:left w:val="none" w:sz="0" w:space="0" w:color="auto"/>
                <w:bottom w:val="none" w:sz="0" w:space="0" w:color="auto"/>
                <w:right w:val="none" w:sz="0" w:space="0" w:color="auto"/>
              </w:divBdr>
              <w:divsChild>
                <w:div w:id="10176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atiereeksgevaarlijkestoffen.nl"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atiereeksgevaarlijkestoff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comments xmlns="063f955d-52cd-40b2-80f5-70171ea2be06" xsi:nil="true"/>
    <AI_Cluster xmlns="063f955d-52cd-40b2-80f5-70171ea2be06" xsi:nil="true"/>
    <AI_Initial_directory xmlns="063f955d-52cd-40b2-80f5-70171ea2be06" xsi:nil="true"/>
    <AI__x0025__Relevance_B xmlns="063f955d-52cd-40b2-80f5-70171ea2be06" xsi:nil="true"/>
    <mf725ba62fce447fb9bbcc06eaaae514 xmlns="063f955d-52cd-40b2-80f5-70171ea2be06">
      <Terms xmlns="http://schemas.microsoft.com/office/infopath/2007/PartnerControls">
        <TermInfo xmlns="http://schemas.microsoft.com/office/infopath/2007/PartnerControls">
          <TermName xmlns="http://schemas.microsoft.com/office/infopath/2007/PartnerControls">Being worked on</TermName>
          <TermId xmlns="http://schemas.microsoft.com/office/infopath/2007/PartnerControls">61239119-fb6b-4477-99a9-0d9e8dd1a49e</TermId>
        </TermInfo>
      </Terms>
    </mf725ba62fce447fb9bbcc06eaaae514>
    <TaxCatchAll xmlns="063f955d-52cd-40b2-80f5-70171ea2be06">
      <Value>48</Value>
      <Value>49</Value>
      <Value>39</Value>
      <Value>28</Value>
    </TaxCatchAll>
    <Expiration_date xmlns="063f955d-52cd-40b2-80f5-70171ea2be06" xsi:nil="true"/>
    <AI_SHP_Reference xmlns="063f955d-52cd-40b2-80f5-70171ea2be06" xsi:nil="true"/>
    <AI_Duplicate_status xmlns="063f955d-52cd-40b2-80f5-70171ea2be06" xsi:nil="true"/>
    <Context xmlns="063f955d-52cd-40b2-80f5-70171ea2be06" xsi:nil="true"/>
    <AI__x0025__Relevance_A xmlns="063f955d-52cd-40b2-80f5-70171ea2be06" xsi:nil="true"/>
    <AI_Batch_reference xmlns="063f955d-52cd-40b2-80f5-70171ea2be06" xsi:nil="true"/>
    <AI_Labelling_error xmlns="063f955d-52cd-40b2-80f5-70171ea2be06">false</AI_Labelling_error>
    <jdb7fc4e974a45188d91caad41c9ef17 xmlns="063f955d-52cd-40b2-80f5-70171ea2be06">
      <Terms xmlns="http://schemas.microsoft.com/office/infopath/2007/PartnerControls"/>
    </jdb7fc4e974a45188d91caad41c9ef17>
    <AI_Requested__x0020_manual_classification xmlns="063f955d-52cd-40b2-80f5-70171ea2be06">false</AI_Requested__x0020_manual_classification>
    <Doc_Language xmlns="063f955d-52cd-40b2-80f5-70171ea2be06" xsi:nil="true"/>
    <AI_AIDB_ID xmlns="063f955d-52cd-40b2-80f5-70171ea2be06" xsi:nil="true"/>
    <AI_Classification_B xmlns="063f955d-52cd-40b2-80f5-70171ea2be06" xsi:nil="true"/>
    <AI_AIDB_status_TXT xmlns="063f955d-52cd-40b2-80f5-70171ea2be06" xsi:nil="true"/>
    <AI_Classification_A xmlns="063f955d-52cd-40b2-80f5-70171ea2be06" xsi:nil="true"/>
    <i3815fca76db49ac95ea420f7cf911c6 xmlns="063f955d-52cd-40b2-80f5-70171ea2be06">
      <Terms xmlns="http://schemas.microsoft.com/office/infopath/2007/PartnerControls">
        <TermInfo xmlns="http://schemas.microsoft.com/office/infopath/2007/PartnerControls">
          <TermName xmlns="http://schemas.microsoft.com/office/infopath/2007/PartnerControls">3 - Internal use only</TermName>
          <TermId xmlns="http://schemas.microsoft.com/office/infopath/2007/PartnerControls">444dad51-745a-4285-abc9-4365fac0ec25</TermId>
        </TermInfo>
      </Terms>
    </i3815fca76db49ac95ea420f7cf911c6>
    <AI__x0025__Duplicate_candidate xmlns="063f955d-52cd-40b2-80f5-70171ea2be06" xsi:nil="true"/>
    <AI_Waiting_for_auto_classification xmlns="063f955d-52cd-40b2-80f5-70171ea2be06">false</AI_Waiting_for_auto_classification>
    <f56f3b9b03444df3b2ef6aaf7c0cbaa6 xmlns="063f955d-52cd-40b2-80f5-70171ea2be06">
      <Terms xmlns="http://schemas.microsoft.com/office/infopath/2007/PartnerControls"/>
    </f56f3b9b03444df3b2ef6aaf7c0cbaa6>
    <e88422c06c974aee9bbadae853be99f3 xmlns="063f955d-52cd-40b2-80f5-70171ea2be06">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3fbde490-865b-454f-b890-2db0972ec210</TermId>
        </TermInfo>
      </Terms>
    </e88422c06c974aee9bbadae853be99f3>
    <AI_Classification_has_been_requested xmlns="063f955d-52cd-40b2-80f5-70171ea2be06">false</AI_Classification_has_been_requested>
    <c48dca2c4d3f41848d6c6bfa73049c67 xmlns="063f955d-52cd-40b2-80f5-70171ea2be06">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985ce182-55de-4937-95b7-506adedf733b</TermId>
        </TermInfo>
      </Terms>
    </c48dca2c4d3f41848d6c6bfa73049c6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EFIC_Doc" ma:contentTypeID="0x010100CC1452B3D32F8440B544A8D906354C2B003A8DC8704128B147AD90442E6F71DD98" ma:contentTypeVersion="44" ma:contentTypeDescription="" ma:contentTypeScope="" ma:versionID="41a7dcc30781f1dd5bab1c4deb8af60a">
  <xsd:schema xmlns:xsd="http://www.w3.org/2001/XMLSchema" xmlns:xs="http://www.w3.org/2001/XMLSchema" xmlns:p="http://schemas.microsoft.com/office/2006/metadata/properties" xmlns:ns2="063f955d-52cd-40b2-80f5-70171ea2be06" targetNamespace="http://schemas.microsoft.com/office/2006/metadata/properties" ma:root="true" ma:fieldsID="4116b06f6bea5bcb05063bd40cb219a7" ns2:_="">
    <xsd:import namespace="063f955d-52cd-40b2-80f5-70171ea2be06"/>
    <xsd:element name="properties">
      <xsd:complexType>
        <xsd:sequence>
          <xsd:element name="documentManagement">
            <xsd:complexType>
              <xsd:all>
                <xsd:element ref="ns2:mf725ba62fce447fb9bbcc06eaaae514" minOccurs="0"/>
                <xsd:element ref="ns2:TaxCatchAll" minOccurs="0"/>
                <xsd:element ref="ns2:TaxCatchAllLabel" minOccurs="0"/>
                <xsd:element ref="ns2:c48dca2c4d3f41848d6c6bfa73049c67" minOccurs="0"/>
                <xsd:element ref="ns2:Document_comments" minOccurs="0"/>
                <xsd:element ref="ns2:Expiration_date" minOccurs="0"/>
                <xsd:element ref="ns2:AI__x0025__Duplicate_candidate" minOccurs="0"/>
                <xsd:element ref="ns2:AI__x0025__Relevance_A" minOccurs="0"/>
                <xsd:element ref="ns2:AI__x0025__Relevance_B" minOccurs="0"/>
                <xsd:element ref="ns2:AI_Batch_reference" minOccurs="0"/>
                <xsd:element ref="ns2:AI_Classification_A" minOccurs="0"/>
                <xsd:element ref="ns2:AI_Classification_B" minOccurs="0"/>
                <xsd:element ref="ns2:AI_Classification_has_been_requested" minOccurs="0"/>
                <xsd:element ref="ns2:AI_Cluster" minOccurs="0"/>
                <xsd:element ref="ns2:AI_Duplicate_status" minOccurs="0"/>
                <xsd:element ref="ns2:AI_Initial_directory" minOccurs="0"/>
                <xsd:element ref="ns2:AI_Labelling_error" minOccurs="0"/>
                <xsd:element ref="ns2:f56f3b9b03444df3b2ef6aaf7c0cbaa6" minOccurs="0"/>
                <xsd:element ref="ns2:AI_Requested__x0020_manual_classification" minOccurs="0"/>
                <xsd:element ref="ns2:AI_SHP_Reference" minOccurs="0"/>
                <xsd:element ref="ns2:AI_Waiting_for_auto_classification" minOccurs="0"/>
                <xsd:element ref="ns2:i3815fca76db49ac95ea420f7cf911c6" minOccurs="0"/>
                <xsd:element ref="ns2:e88422c06c974aee9bbadae853be99f3" minOccurs="0"/>
                <xsd:element ref="ns2:Context" minOccurs="0"/>
                <xsd:element ref="ns2:Doc_Language" minOccurs="0"/>
                <xsd:element ref="ns2:AI_AIDB_status_TXT" minOccurs="0"/>
                <xsd:element ref="ns2:jdb7fc4e974a45188d91caad41c9ef17" minOccurs="0"/>
                <xsd:element ref="ns2:AI_AIDB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955d-52cd-40b2-80f5-70171ea2be06" elementFormDefault="qualified">
    <xsd:import namespace="http://schemas.microsoft.com/office/2006/documentManagement/types"/>
    <xsd:import namespace="http://schemas.microsoft.com/office/infopath/2007/PartnerControls"/>
    <xsd:element name="mf725ba62fce447fb9bbcc06eaaae514" ma:index="8" ma:taxonomy="true" ma:internalName="mf725ba62fce447fb9bbcc06eaaae514" ma:taxonomyFieldName="Document_status" ma:displayName="Doc status" ma:default="28;#Being worked on|61239119-fb6b-4477-99a9-0d9e8dd1a49e" ma:fieldId="{6f725ba6-2fce-447f-b9bb-cc06eaaae514}" ma:sspId="51ab7c41-b059-4fba-bc0c-4efa77139169" ma:termSetId="20c9d287-53e8-4803-b29d-4667889bb30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f15102-f4ab-4b77-b91d-d74d78f68324}" ma:internalName="TaxCatchAll" ma:showField="CatchAllData" ma:web="4c0c3a75-ac74-4d90-8478-8c4d54dc6da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f15102-f4ab-4b77-b91d-d74d78f68324}" ma:internalName="TaxCatchAllLabel" ma:readOnly="true" ma:showField="CatchAllDataLabel" ma:web="4c0c3a75-ac74-4d90-8478-8c4d54dc6daa">
      <xsd:complexType>
        <xsd:complexContent>
          <xsd:extension base="dms:MultiChoiceLookup">
            <xsd:sequence>
              <xsd:element name="Value" type="dms:Lookup" maxOccurs="unbounded" minOccurs="0" nillable="true"/>
            </xsd:sequence>
          </xsd:extension>
        </xsd:complexContent>
      </xsd:complexType>
    </xsd:element>
    <xsd:element name="c48dca2c4d3f41848d6c6bfa73049c67" ma:index="12" ma:taxonomy="true" ma:internalName="c48dca2c4d3f41848d6c6bfa73049c67" ma:taxonomyFieldName="Document_Type" ma:displayName="Doc type" ma:readOnly="false" ma:default="48;#NA|985ce182-55de-4937-95b7-506adedf733b" ma:fieldId="{c48dca2c-4d3f-4184-8d6c-6bfa73049c67}" ma:sspId="51ab7c41-b059-4fba-bc0c-4efa77139169" ma:termSetId="1e542667-cb91-40c1-95af-574bb1f275f6" ma:anchorId="00000000-0000-0000-0000-000000000000" ma:open="false" ma:isKeyword="false">
      <xsd:complexType>
        <xsd:sequence>
          <xsd:element ref="pc:Terms" minOccurs="0" maxOccurs="1"/>
        </xsd:sequence>
      </xsd:complexType>
    </xsd:element>
    <xsd:element name="Document_comments" ma:index="14" nillable="true" ma:displayName="Doc comments" ma:internalName="Document_comments">
      <xsd:simpleType>
        <xsd:restriction base="dms:Note">
          <xsd:maxLength value="255"/>
        </xsd:restriction>
      </xsd:simpleType>
    </xsd:element>
    <xsd:element name="Expiration_date" ma:index="15" nillable="true" ma:displayName="Expiration date" ma:format="DateOnly" ma:internalName="Expiration_date">
      <xsd:simpleType>
        <xsd:restriction base="dms:DateTime"/>
      </xsd:simpleType>
    </xsd:element>
    <xsd:element name="AI__x0025__Duplicate_candidate" ma:index="16" nillable="true" ma:displayName="AI_%_Duplicate_candidate" ma:internalName="AI__x0025__Duplicate_candidate">
      <xsd:simpleType>
        <xsd:restriction base="dms:Text">
          <xsd:maxLength value="255"/>
        </xsd:restriction>
      </xsd:simpleType>
    </xsd:element>
    <xsd:element name="AI__x0025__Relevance_A" ma:index="17" nillable="true" ma:displayName="AI_%_Relevance_A" ma:internalName="AI__x0025__Relevance_A" ma:percentage="TRUE">
      <xsd:simpleType>
        <xsd:restriction base="dms:Number">
          <xsd:maxInclusive value="1.00"/>
        </xsd:restriction>
      </xsd:simpleType>
    </xsd:element>
    <xsd:element name="AI__x0025__Relevance_B" ma:index="18" nillable="true" ma:displayName="AI_%_Relevance_B" ma:internalName="AI__x0025__Relevance_B" ma:percentage="TRUE">
      <xsd:simpleType>
        <xsd:restriction base="dms:Number">
          <xsd:maxInclusive value="1.00"/>
        </xsd:restriction>
      </xsd:simpleType>
    </xsd:element>
    <xsd:element name="AI_Batch_reference" ma:index="19" nillable="true" ma:displayName="AI_Batch_reference" ma:internalName="AI_Batch_reference">
      <xsd:simpleType>
        <xsd:restriction base="dms:Text">
          <xsd:maxLength value="255"/>
        </xsd:restriction>
      </xsd:simpleType>
    </xsd:element>
    <xsd:element name="AI_Classification_A" ma:index="20" nillable="true" ma:displayName="AI_Classification_A" ma:internalName="AI_Classification_A">
      <xsd:simpleType>
        <xsd:restriction base="dms:Text">
          <xsd:maxLength value="255"/>
        </xsd:restriction>
      </xsd:simpleType>
    </xsd:element>
    <xsd:element name="AI_Classification_B" ma:index="21" nillable="true" ma:displayName="AI_Classification_B" ma:internalName="AI_Classification_B">
      <xsd:simpleType>
        <xsd:restriction base="dms:Text">
          <xsd:maxLength value="255"/>
        </xsd:restriction>
      </xsd:simpleType>
    </xsd:element>
    <xsd:element name="AI_Classification_has_been_requested" ma:index="22" nillable="true" ma:displayName="AI_Classification_has_been_requested" ma:default="0" ma:internalName="AI_Classification_has_been_requested">
      <xsd:simpleType>
        <xsd:restriction base="dms:Boolean"/>
      </xsd:simpleType>
    </xsd:element>
    <xsd:element name="AI_Cluster" ma:index="23" nillable="true" ma:displayName="AI_Cluster" ma:internalName="AI_Cluster">
      <xsd:simpleType>
        <xsd:restriction base="dms:Text">
          <xsd:maxLength value="255"/>
        </xsd:restriction>
      </xsd:simpleType>
    </xsd:element>
    <xsd:element name="AI_Duplicate_status" ma:index="24" nillable="true" ma:displayName="AI_Duplicate_status" ma:internalName="AI_Duplicate_status">
      <xsd:simpleType>
        <xsd:restriction base="dms:Text">
          <xsd:maxLength value="255"/>
        </xsd:restriction>
      </xsd:simpleType>
    </xsd:element>
    <xsd:element name="AI_Initial_directory" ma:index="25" nillable="true" ma:displayName="AI_Initial_directory" ma:internalName="AI_Initial_directory">
      <xsd:simpleType>
        <xsd:restriction base="dms:Text">
          <xsd:maxLength value="255"/>
        </xsd:restriction>
      </xsd:simpleType>
    </xsd:element>
    <xsd:element name="AI_Labelling_error" ma:index="26" nillable="true" ma:displayName="AI_Labelling_error" ma:default="0" ma:internalName="AI_Labelling_error">
      <xsd:simpleType>
        <xsd:restriction base="dms:Boolean"/>
      </xsd:simpleType>
    </xsd:element>
    <xsd:element name="f56f3b9b03444df3b2ef6aaf7c0cbaa6" ma:index="27" nillable="true" ma:taxonomy="true" ma:internalName="f56f3b9b03444df3b2ef6aaf7c0cbaa6" ma:taxonomyFieldName="AI_Normalisation_status" ma:displayName="AI_Normalisation_status" ma:default="" ma:fieldId="{f56f3b9b-0344-4df3-b2ef-6aaf7c0cbaa6}" ma:sspId="51ab7c41-b059-4fba-bc0c-4efa77139169" ma:termSetId="a566f7a0-90fb-4cfd-a025-f7a3da074993" ma:anchorId="00000000-0000-0000-0000-000000000000" ma:open="false" ma:isKeyword="false">
      <xsd:complexType>
        <xsd:sequence>
          <xsd:element ref="pc:Terms" minOccurs="0" maxOccurs="1"/>
        </xsd:sequence>
      </xsd:complexType>
    </xsd:element>
    <xsd:element name="AI_Requested__x0020_manual_classification" ma:index="29" nillable="true" ma:displayName="AI_Requested_ manual_classification" ma:default="0" ma:internalName="AI_Requested__x0020_manual_classification">
      <xsd:simpleType>
        <xsd:restriction base="dms:Boolean"/>
      </xsd:simpleType>
    </xsd:element>
    <xsd:element name="AI_SHP_Reference" ma:index="30" nillable="true" ma:displayName="AI_SHP_Reference" ma:hidden="true" ma:internalName="AI_SHP_Reference" ma:readOnly="false">
      <xsd:simpleType>
        <xsd:restriction base="dms:Text">
          <xsd:maxLength value="255"/>
        </xsd:restriction>
      </xsd:simpleType>
    </xsd:element>
    <xsd:element name="AI_Waiting_for_auto_classification" ma:index="31" nillable="true" ma:displayName="AI_Waiting_for_auto_classification" ma:default="0" ma:internalName="AI_Waiting_for_auto_classification">
      <xsd:simpleType>
        <xsd:restriction base="dms:Boolean"/>
      </xsd:simpleType>
    </xsd:element>
    <xsd:element name="i3815fca76db49ac95ea420f7cf911c6" ma:index="32" ma:taxonomy="true" ma:internalName="i3815fca76db49ac95ea420f7cf911c6" ma:taxonomyFieldName="Confidentiality" ma:displayName="Confidentiality" ma:default="39;#3 - Internal use only|444dad51-745a-4285-abc9-4365fac0ec25" ma:fieldId="{23815fca-76db-49ac-95ea-420f7cf911c6}" ma:sspId="51ab7c41-b059-4fba-bc0c-4efa77139169" ma:termSetId="4ce234e3-b8ca-4796-8882-4f21ffe1b85d" ma:anchorId="00000000-0000-0000-0000-000000000000" ma:open="false" ma:isKeyword="false">
      <xsd:complexType>
        <xsd:sequence>
          <xsd:element ref="pc:Terms" minOccurs="0" maxOccurs="1"/>
        </xsd:sequence>
      </xsd:complexType>
    </xsd:element>
    <xsd:element name="e88422c06c974aee9bbadae853be99f3" ma:index="34" ma:taxonomy="true" ma:internalName="e88422c06c974aee9bbadae853be99f3" ma:taxonomyFieldName="GDPR" ma:displayName="GDPR" ma:readOnly="false" ma:default="49;#NA|3fbde490-865b-454f-b890-2db0972ec210" ma:fieldId="{e88422c0-6c97-4aee-9bba-dae853be99f3}" ma:sspId="51ab7c41-b059-4fba-bc0c-4efa77139169" ma:termSetId="a70036e0-1808-4628-8c65-155ea273b160" ma:anchorId="00000000-0000-0000-0000-000000000000" ma:open="false" ma:isKeyword="false">
      <xsd:complexType>
        <xsd:sequence>
          <xsd:element ref="pc:Terms" minOccurs="0" maxOccurs="1"/>
        </xsd:sequence>
      </xsd:complexType>
    </xsd:element>
    <xsd:element name="Context" ma:index="36" nillable="true" ma:displayName="Context" ma:internalName="Context">
      <xsd:simpleType>
        <xsd:restriction base="dms:Note">
          <xsd:maxLength value="255"/>
        </xsd:restriction>
      </xsd:simpleType>
    </xsd:element>
    <xsd:element name="Doc_Language" ma:index="37" nillable="true" ma:displayName="Doc language" ma:internalName="Doc_Language">
      <xsd:simpleType>
        <xsd:restriction base="dms:Text">
          <xsd:maxLength value="255"/>
        </xsd:restriction>
      </xsd:simpleType>
    </xsd:element>
    <xsd:element name="AI_AIDB_status_TXT" ma:index="38" nillable="true" ma:displayName="AI_AIDB_status_TXT" ma:internalName="AI_AIDB_status_TXT">
      <xsd:simpleType>
        <xsd:restriction base="dms:Text">
          <xsd:maxLength value="255"/>
        </xsd:restriction>
      </xsd:simpleType>
    </xsd:element>
    <xsd:element name="jdb7fc4e974a45188d91caad41c9ef17" ma:index="39" nillable="true" ma:taxonomy="true" ma:internalName="jdb7fc4e974a45188d91caad41c9ef17" ma:taxonomyFieldName="AI_AIDB_status_MM" ma:displayName="AI_AIDB_status_MM" ma:default="" ma:fieldId="{3db7fc4e-974a-4518-8d91-caad41c9ef17}" ma:sspId="51ab7c41-b059-4fba-bc0c-4efa77139169" ma:termSetId="c9536394-d76c-413e-9bc5-a7e833b62c44" ma:anchorId="00000000-0000-0000-0000-000000000000" ma:open="false" ma:isKeyword="false">
      <xsd:complexType>
        <xsd:sequence>
          <xsd:element ref="pc:Terms" minOccurs="0" maxOccurs="1"/>
        </xsd:sequence>
      </xsd:complexType>
    </xsd:element>
    <xsd:element name="AI_AIDB_ID" ma:index="41" nillable="true" ma:displayName="AI_AIDB_ID" ma:internalName="AI_AIDB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1ab7c41-b059-4fba-bc0c-4efa77139169" ContentTypeId="0x010100CC1452B3D32F8440B544A8D906354C2B" PreviousValue="false"/>
</file>

<file path=customXml/itemProps1.xml><?xml version="1.0" encoding="utf-8"?>
<ds:datastoreItem xmlns:ds="http://schemas.openxmlformats.org/officeDocument/2006/customXml" ds:itemID="{7F19319F-7019-4255-9628-01F1CDA405F1}">
  <ds:schemaRefs>
    <ds:schemaRef ds:uri="http://schemas.microsoft.com/office/2006/metadata/properties"/>
    <ds:schemaRef ds:uri="http://schemas.microsoft.com/office/infopath/2007/PartnerControls"/>
    <ds:schemaRef ds:uri="f8fb02e3-efe1-4afb-b64d-2dc19112b07d"/>
  </ds:schemaRefs>
</ds:datastoreItem>
</file>

<file path=customXml/itemProps2.xml><?xml version="1.0" encoding="utf-8"?>
<ds:datastoreItem xmlns:ds="http://schemas.openxmlformats.org/officeDocument/2006/customXml" ds:itemID="{84DBA749-9424-42C0-BD32-1F8F48263429}">
  <ds:schemaRefs>
    <ds:schemaRef ds:uri="http://schemas.microsoft.com/sharepoint/v3/contenttype/forms"/>
  </ds:schemaRefs>
</ds:datastoreItem>
</file>

<file path=customXml/itemProps3.xml><?xml version="1.0" encoding="utf-8"?>
<ds:datastoreItem xmlns:ds="http://schemas.openxmlformats.org/officeDocument/2006/customXml" ds:itemID="{96DE3DB5-AB9B-416F-8932-48B72995ECE9}">
  <ds:schemaRefs>
    <ds:schemaRef ds:uri="http://schemas.openxmlformats.org/officeDocument/2006/bibliography"/>
  </ds:schemaRefs>
</ds:datastoreItem>
</file>

<file path=customXml/itemProps4.xml><?xml version="1.0" encoding="utf-8"?>
<ds:datastoreItem xmlns:ds="http://schemas.openxmlformats.org/officeDocument/2006/customXml" ds:itemID="{59998DF2-276A-4990-BB47-764D4BB5B4B8}"/>
</file>

<file path=customXml/itemProps5.xml><?xml version="1.0" encoding="utf-8"?>
<ds:datastoreItem xmlns:ds="http://schemas.openxmlformats.org/officeDocument/2006/customXml" ds:itemID="{48D6429F-D6DF-4363-809B-5004A012C41E}"/>
</file>

<file path=docProps/app.xml><?xml version="1.0" encoding="utf-8"?>
<Properties xmlns="http://schemas.openxmlformats.org/officeDocument/2006/extended-properties" xmlns:vt="http://schemas.openxmlformats.org/officeDocument/2006/docPropsVTypes">
  <Template>Normal</Template>
  <TotalTime>1</TotalTime>
  <Pages>9</Pages>
  <Words>3020</Words>
  <Characters>16612</Characters>
  <Application>Microsoft Office Word</Application>
  <DocSecurity>8</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Schuurman, P. (Peter)</dc:creator>
  <cp:keywords/>
  <dc:description/>
  <cp:lastModifiedBy>Nagelhout, G. (Gerrit)</cp:lastModifiedBy>
  <cp:revision>2</cp:revision>
  <dcterms:created xsi:type="dcterms:W3CDTF">2021-06-03T09:16:00Z</dcterms:created>
  <dcterms:modified xsi:type="dcterms:W3CDTF">2021-06-03T09:16:00Z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0x010100CC1452B3D32F8440B544A8D906354C2B003A8DC8704128B147AD90442E6F71DD98</vt:lpwstr>
  </property>
  <property fmtid="{D5CDD505-2E9C-101B-9397-08002B2CF9AE}" pid="3" name="Confidentiality">
    <vt:i4>39</vt:i4>
  </property>
  <property fmtid="{D5CDD505-2E9C-101B-9397-08002B2CF9AE}" pid="4" name="Document_Type">
    <vt:i4>48</vt:i4>
  </property>
  <property fmtid="{D5CDD505-2E9C-101B-9397-08002B2CF9AE}" pid="5" name="GDPR">
    <vt:i4>49</vt:i4>
  </property>
  <property fmtid="{D5CDD505-2E9C-101B-9397-08002B2CF9AE}" pid="6" name="Document_status">
    <vt:i4>28</vt:i4>
  </property>
</Properties>
</file>